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customXmlInsRangeStart w:id="0" w:author="smithgk" w:date="2013-01-31T10:47:00Z"/>
    <w:sdt>
      <w:sdtPr>
        <w:rPr>
          <w:b/>
          <w:sz w:val="24"/>
        </w:rPr>
        <w:id w:val="1329409473"/>
        <w:lock w:val="contentLocked"/>
        <w:placeholder>
          <w:docPart w:val="DefaultPlaceholder_1082065158"/>
        </w:placeholder>
        <w:group/>
      </w:sdtPr>
      <w:sdtEndPr>
        <w:rPr>
          <w:b w:val="0"/>
          <w:sz w:val="22"/>
        </w:rPr>
      </w:sdtEndPr>
      <w:sdtContent>
        <w:customXmlInsRangeEnd w:id="0"/>
        <w:bookmarkStart w:id="1" w:name="_GoBack" w:displacedByCustomXml="prev"/>
        <w:bookmarkEnd w:id="1" w:displacedByCustomXml="prev"/>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1488"/>
            <w:gridCol w:w="1554"/>
            <w:gridCol w:w="2734"/>
            <w:gridCol w:w="1665"/>
          </w:tblGrid>
          <w:tr w:rsidR="00777EDE" w:rsidRPr="00D968E6" w:rsidTr="00D968E6">
            <w:trPr>
              <w:trHeight w:val="788"/>
            </w:trPr>
            <w:tc>
              <w:tcPr>
                <w:tcW w:w="9322" w:type="dxa"/>
                <w:gridSpan w:val="5"/>
              </w:tcPr>
              <w:p w:rsidR="00777EDE" w:rsidRPr="00D968E6" w:rsidRDefault="00777EDE" w:rsidP="00D968E6">
                <w:pPr>
                  <w:spacing w:after="0" w:line="240" w:lineRule="auto"/>
                  <w:jc w:val="center"/>
                  <w:rPr>
                    <w:b/>
                    <w:sz w:val="10"/>
                  </w:rPr>
                </w:pPr>
                <w:r w:rsidRPr="00D968E6">
                  <w:rPr>
                    <w:b/>
                    <w:sz w:val="24"/>
                  </w:rPr>
                  <w:t>Fee Sheet</w:t>
                </w:r>
                <w:r w:rsidR="00EE2C8C" w:rsidRPr="00D968E6">
                  <w:rPr>
                    <w:b/>
                    <w:sz w:val="20"/>
                  </w:rPr>
                  <w:br/>
                </w:r>
              </w:p>
              <w:p w:rsidR="008D697D" w:rsidRPr="00D968E6" w:rsidRDefault="00D13006" w:rsidP="002A2B54">
                <w:pPr>
                  <w:spacing w:after="0" w:line="240" w:lineRule="auto"/>
                  <w:jc w:val="center"/>
                  <w:rPr>
                    <w:b/>
                    <w:sz w:val="20"/>
                  </w:rPr>
                </w:pPr>
                <w:r w:rsidRPr="00D968E6">
                  <w:rPr>
                    <w:b/>
                    <w:sz w:val="20"/>
                  </w:rPr>
                  <w:t>As at 01 Jan</w:t>
                </w:r>
                <w:r w:rsidR="002A2B54">
                  <w:rPr>
                    <w:b/>
                    <w:sz w:val="20"/>
                  </w:rPr>
                  <w:t xml:space="preserve">uary </w:t>
                </w:r>
                <w:r w:rsidRPr="00D968E6">
                  <w:rPr>
                    <w:b/>
                    <w:sz w:val="20"/>
                  </w:rPr>
                  <w:t>2013</w:t>
                </w:r>
              </w:p>
            </w:tc>
          </w:tr>
          <w:tr w:rsidR="00EE2C8C" w:rsidRPr="00D968E6" w:rsidTr="00D968E6">
            <w:trPr>
              <w:trHeight w:val="969"/>
            </w:trPr>
            <w:tc>
              <w:tcPr>
                <w:tcW w:w="1881" w:type="dxa"/>
                <w:vAlign w:val="center"/>
              </w:tcPr>
              <w:p w:rsidR="00777EDE" w:rsidRPr="00D968E6" w:rsidRDefault="00777EDE" w:rsidP="00D968E6">
                <w:pPr>
                  <w:spacing w:after="0" w:line="240" w:lineRule="auto"/>
                  <w:jc w:val="center"/>
                  <w:rPr>
                    <w:b/>
                    <w:sz w:val="20"/>
                    <w:szCs w:val="20"/>
                  </w:rPr>
                </w:pPr>
                <w:r w:rsidRPr="00D968E6">
                  <w:rPr>
                    <w:b/>
                    <w:sz w:val="20"/>
                    <w:szCs w:val="20"/>
                  </w:rPr>
                  <w:t>BRE Scheme</w:t>
                </w:r>
              </w:p>
            </w:tc>
            <w:tc>
              <w:tcPr>
                <w:tcW w:w="1488" w:type="dxa"/>
                <w:vAlign w:val="center"/>
              </w:tcPr>
              <w:p w:rsidR="00777EDE" w:rsidRPr="00D968E6" w:rsidRDefault="00777EDE" w:rsidP="00D968E6">
                <w:pPr>
                  <w:spacing w:after="0" w:line="240" w:lineRule="auto"/>
                  <w:jc w:val="center"/>
                  <w:rPr>
                    <w:b/>
                    <w:sz w:val="20"/>
                    <w:szCs w:val="20"/>
                  </w:rPr>
                </w:pPr>
                <w:r w:rsidRPr="00D968E6">
                  <w:rPr>
                    <w:b/>
                    <w:sz w:val="20"/>
                    <w:szCs w:val="20"/>
                  </w:rPr>
                  <w:t>Annual membership fee*</w:t>
                </w:r>
              </w:p>
            </w:tc>
            <w:tc>
              <w:tcPr>
                <w:tcW w:w="1554" w:type="dxa"/>
                <w:vAlign w:val="center"/>
              </w:tcPr>
              <w:p w:rsidR="00777EDE" w:rsidRPr="00D968E6" w:rsidRDefault="00085F2E" w:rsidP="00D968E6">
                <w:pPr>
                  <w:spacing w:after="0" w:line="240" w:lineRule="auto"/>
                  <w:jc w:val="center"/>
                  <w:rPr>
                    <w:b/>
                    <w:sz w:val="20"/>
                    <w:szCs w:val="20"/>
                  </w:rPr>
                </w:pPr>
                <w:r w:rsidRPr="00D968E6">
                  <w:rPr>
                    <w:b/>
                    <w:sz w:val="20"/>
                    <w:szCs w:val="20"/>
                  </w:rPr>
                  <w:t>EPC Portfolio Assessment fee</w:t>
                </w:r>
                <w:r w:rsidR="006F4C14" w:rsidRPr="00D968E6">
                  <w:rPr>
                    <w:b/>
                    <w:sz w:val="20"/>
                    <w:szCs w:val="20"/>
                  </w:rPr>
                  <w:br/>
                  <w:t>(where applicable)</w:t>
                </w:r>
              </w:p>
            </w:tc>
            <w:tc>
              <w:tcPr>
                <w:tcW w:w="2734" w:type="dxa"/>
                <w:vAlign w:val="center"/>
              </w:tcPr>
              <w:p w:rsidR="00777EDE" w:rsidRPr="00D968E6" w:rsidRDefault="00085F2E" w:rsidP="00D968E6">
                <w:pPr>
                  <w:spacing w:after="0" w:line="240" w:lineRule="auto"/>
                  <w:jc w:val="center"/>
                  <w:rPr>
                    <w:b/>
                    <w:sz w:val="20"/>
                    <w:szCs w:val="20"/>
                  </w:rPr>
                </w:pPr>
                <w:r w:rsidRPr="00D968E6">
                  <w:rPr>
                    <w:b/>
                    <w:sz w:val="20"/>
                    <w:szCs w:val="20"/>
                  </w:rPr>
                  <w:t xml:space="preserve">EPC registration fee </w:t>
                </w:r>
                <w:r w:rsidR="00EE2C8C" w:rsidRPr="00D968E6">
                  <w:rPr>
                    <w:b/>
                    <w:sz w:val="20"/>
                    <w:szCs w:val="20"/>
                  </w:rPr>
                  <w:t>(from)</w:t>
                </w:r>
                <w:r w:rsidRPr="00D968E6">
                  <w:rPr>
                    <w:b/>
                    <w:sz w:val="20"/>
                    <w:szCs w:val="20"/>
                  </w:rPr>
                  <w:br/>
                  <w:t xml:space="preserve"> exc.  VAT &amp; HEED fees </w:t>
                </w:r>
              </w:p>
            </w:tc>
            <w:tc>
              <w:tcPr>
                <w:tcW w:w="1665" w:type="dxa"/>
                <w:vAlign w:val="center"/>
              </w:tcPr>
              <w:p w:rsidR="00777EDE" w:rsidRPr="00D968E6" w:rsidRDefault="00085F2E" w:rsidP="00D968E6">
                <w:pPr>
                  <w:spacing w:after="0" w:line="240" w:lineRule="auto"/>
                  <w:jc w:val="center"/>
                  <w:rPr>
                    <w:b/>
                    <w:sz w:val="20"/>
                    <w:szCs w:val="20"/>
                  </w:rPr>
                </w:pPr>
                <w:r w:rsidRPr="00D968E6">
                  <w:rPr>
                    <w:b/>
                    <w:sz w:val="20"/>
                    <w:szCs w:val="20"/>
                  </w:rPr>
                  <w:t>Software licence fee</w:t>
                </w:r>
                <w:r w:rsidRPr="00D968E6">
                  <w:rPr>
                    <w:b/>
                    <w:sz w:val="20"/>
                    <w:szCs w:val="20"/>
                  </w:rPr>
                  <w:br/>
                  <w:t>(as at 01/01/2013)</w:t>
                </w:r>
              </w:p>
            </w:tc>
          </w:tr>
          <w:tr w:rsidR="00EE2C8C" w:rsidRPr="00D968E6" w:rsidTr="00D968E6">
            <w:trPr>
              <w:trHeight w:val="522"/>
            </w:trPr>
            <w:tc>
              <w:tcPr>
                <w:tcW w:w="1881" w:type="dxa"/>
                <w:vAlign w:val="center"/>
              </w:tcPr>
              <w:p w:rsidR="00085F2E" w:rsidRPr="00D968E6" w:rsidRDefault="00085F2E" w:rsidP="00D968E6">
                <w:pPr>
                  <w:spacing w:after="0" w:line="240" w:lineRule="auto"/>
                  <w:rPr>
                    <w:sz w:val="20"/>
                  </w:rPr>
                </w:pPr>
                <w:r w:rsidRPr="00D968E6">
                  <w:rPr>
                    <w:b/>
                    <w:bCs/>
                    <w:sz w:val="20"/>
                  </w:rPr>
                  <w:t>Existing Domestic Buildings</w:t>
                </w:r>
              </w:p>
            </w:tc>
            <w:tc>
              <w:tcPr>
                <w:tcW w:w="1488"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1554"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2734" w:type="dxa"/>
                <w:vAlign w:val="center"/>
              </w:tcPr>
              <w:p w:rsidR="00085F2E" w:rsidRPr="00D968E6" w:rsidRDefault="00085F2E" w:rsidP="00D968E6">
                <w:pPr>
                  <w:spacing w:after="0" w:line="240" w:lineRule="auto"/>
                  <w:jc w:val="center"/>
                  <w:rPr>
                    <w:b/>
                    <w:sz w:val="20"/>
                  </w:rPr>
                </w:pPr>
                <w:r w:rsidRPr="00D968E6">
                  <w:rPr>
                    <w:b/>
                    <w:sz w:val="20"/>
                  </w:rPr>
                  <w:t>£7.00</w:t>
                </w:r>
                <w:r w:rsidR="009537B1">
                  <w:rPr>
                    <w:b/>
                    <w:sz w:val="20"/>
                  </w:rPr>
                  <w:t>**</w:t>
                </w:r>
              </w:p>
            </w:tc>
            <w:tc>
              <w:tcPr>
                <w:tcW w:w="1665" w:type="dxa"/>
                <w:vAlign w:val="center"/>
              </w:tcPr>
              <w:p w:rsidR="00085F2E" w:rsidRPr="00D968E6" w:rsidRDefault="002A2B54" w:rsidP="00D968E6">
                <w:pPr>
                  <w:spacing w:after="0" w:line="240" w:lineRule="auto"/>
                  <w:jc w:val="center"/>
                  <w:rPr>
                    <w:b/>
                    <w:sz w:val="20"/>
                  </w:rPr>
                </w:pPr>
                <w:r>
                  <w:rPr>
                    <w:b/>
                    <w:sz w:val="20"/>
                  </w:rPr>
                  <w:t>Free</w:t>
                </w:r>
              </w:p>
            </w:tc>
          </w:tr>
          <w:tr w:rsidR="00EE2C8C" w:rsidRPr="00D968E6" w:rsidTr="00D968E6">
            <w:trPr>
              <w:trHeight w:val="1551"/>
            </w:trPr>
            <w:tc>
              <w:tcPr>
                <w:tcW w:w="1881" w:type="dxa"/>
                <w:vAlign w:val="center"/>
              </w:tcPr>
              <w:p w:rsidR="00085F2E" w:rsidRPr="00D968E6" w:rsidRDefault="00085F2E" w:rsidP="00D968E6">
                <w:pPr>
                  <w:spacing w:after="0" w:line="240" w:lineRule="auto"/>
                  <w:rPr>
                    <w:sz w:val="20"/>
                  </w:rPr>
                </w:pPr>
                <w:r w:rsidRPr="00D968E6">
                  <w:rPr>
                    <w:b/>
                    <w:bCs/>
                    <w:sz w:val="20"/>
                  </w:rPr>
                  <w:t>Existing Non Domestic Buildings</w:t>
                </w:r>
              </w:p>
            </w:tc>
            <w:tc>
              <w:tcPr>
                <w:tcW w:w="1488"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1554"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2734" w:type="dxa"/>
                <w:vAlign w:val="center"/>
              </w:tcPr>
              <w:p w:rsidR="008D697D" w:rsidRPr="00D968E6" w:rsidRDefault="00D13006" w:rsidP="00D968E6">
                <w:pPr>
                  <w:spacing w:after="0" w:line="240" w:lineRule="auto"/>
                  <w:jc w:val="center"/>
                  <w:rPr>
                    <w:b/>
                    <w:sz w:val="20"/>
                  </w:rPr>
                </w:pPr>
                <w:r w:rsidRPr="00D968E6">
                  <w:rPr>
                    <w:b/>
                    <w:sz w:val="20"/>
                  </w:rPr>
                  <w:br/>
                </w:r>
              </w:p>
              <w:p w:rsidR="008D697D" w:rsidRPr="00D968E6" w:rsidRDefault="009537B1" w:rsidP="009537B1">
                <w:pPr>
                  <w:pStyle w:val="ListParagraph"/>
                  <w:spacing w:after="0" w:line="240" w:lineRule="auto"/>
                  <w:ind w:left="360"/>
                  <w:rPr>
                    <w:b/>
                    <w:sz w:val="20"/>
                    <w:szCs w:val="20"/>
                  </w:rPr>
                </w:pPr>
                <w:r>
                  <w:rPr>
                    <w:b/>
                    <w:sz w:val="20"/>
                    <w:szCs w:val="20"/>
                  </w:rPr>
                  <w:t xml:space="preserve">Any Building </w:t>
                </w:r>
                <w:r w:rsidR="008D697D" w:rsidRPr="00D968E6">
                  <w:rPr>
                    <w:b/>
                    <w:sz w:val="20"/>
                    <w:szCs w:val="20"/>
                  </w:rPr>
                  <w:t>£25.00</w:t>
                </w:r>
              </w:p>
              <w:p w:rsidR="00085F2E" w:rsidRPr="00D968E6" w:rsidRDefault="00085F2E" w:rsidP="00D968E6">
                <w:pPr>
                  <w:spacing w:after="0" w:line="240" w:lineRule="auto"/>
                  <w:jc w:val="center"/>
                  <w:rPr>
                    <w:b/>
                    <w:sz w:val="20"/>
                  </w:rPr>
                </w:pPr>
              </w:p>
            </w:tc>
            <w:tc>
              <w:tcPr>
                <w:tcW w:w="1665" w:type="dxa"/>
                <w:vAlign w:val="center"/>
              </w:tcPr>
              <w:p w:rsidR="00085F2E" w:rsidRPr="00D968E6" w:rsidRDefault="002A2B54" w:rsidP="00D968E6">
                <w:pPr>
                  <w:spacing w:after="0" w:line="240" w:lineRule="auto"/>
                  <w:jc w:val="center"/>
                  <w:rPr>
                    <w:b/>
                    <w:sz w:val="20"/>
                  </w:rPr>
                </w:pPr>
                <w:r>
                  <w:rPr>
                    <w:b/>
                    <w:sz w:val="20"/>
                  </w:rPr>
                  <w:t>Free use of SBEM.</w:t>
                </w:r>
                <w:r>
                  <w:rPr>
                    <w:b/>
                    <w:sz w:val="20"/>
                  </w:rPr>
                  <w:br/>
                  <w:t>Commercial software providers a</w:t>
                </w:r>
                <w:r w:rsidRPr="00D968E6">
                  <w:rPr>
                    <w:b/>
                    <w:sz w:val="20"/>
                  </w:rPr>
                  <w:t>s per supplier terms</w:t>
                </w:r>
              </w:p>
            </w:tc>
          </w:tr>
          <w:tr w:rsidR="00EE2C8C" w:rsidRPr="00D968E6" w:rsidTr="00D968E6">
            <w:trPr>
              <w:trHeight w:val="805"/>
            </w:trPr>
            <w:tc>
              <w:tcPr>
                <w:tcW w:w="1881" w:type="dxa"/>
                <w:vAlign w:val="center"/>
              </w:tcPr>
              <w:p w:rsidR="00085F2E" w:rsidRPr="00D968E6" w:rsidRDefault="00085F2E" w:rsidP="00D968E6">
                <w:pPr>
                  <w:spacing w:after="0" w:line="240" w:lineRule="auto"/>
                  <w:rPr>
                    <w:sz w:val="20"/>
                  </w:rPr>
                </w:pPr>
                <w:r w:rsidRPr="00D968E6">
                  <w:rPr>
                    <w:b/>
                    <w:bCs/>
                    <w:sz w:val="20"/>
                  </w:rPr>
                  <w:t>New Domestic Buildings</w:t>
                </w:r>
              </w:p>
            </w:tc>
            <w:tc>
              <w:tcPr>
                <w:tcW w:w="1488"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1554"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2734" w:type="dxa"/>
                <w:vAlign w:val="center"/>
              </w:tcPr>
              <w:p w:rsidR="00085F2E" w:rsidRPr="00D968E6" w:rsidRDefault="0095248B" w:rsidP="00D968E6">
                <w:pPr>
                  <w:spacing w:after="0" w:line="240" w:lineRule="auto"/>
                  <w:jc w:val="center"/>
                  <w:rPr>
                    <w:b/>
                    <w:sz w:val="20"/>
                  </w:rPr>
                </w:pPr>
                <w:r w:rsidRPr="00D968E6">
                  <w:rPr>
                    <w:b/>
                    <w:sz w:val="20"/>
                  </w:rPr>
                  <w:t>£</w:t>
                </w:r>
                <w:r w:rsidR="009537B1">
                  <w:rPr>
                    <w:b/>
                    <w:sz w:val="20"/>
                  </w:rPr>
                  <w:t>7.00**</w:t>
                </w:r>
              </w:p>
            </w:tc>
            <w:tc>
              <w:tcPr>
                <w:tcW w:w="1665" w:type="dxa"/>
                <w:vAlign w:val="center"/>
              </w:tcPr>
              <w:p w:rsidR="00085F2E" w:rsidRPr="00D968E6" w:rsidRDefault="00085F2E" w:rsidP="00D968E6">
                <w:pPr>
                  <w:spacing w:after="0" w:line="240" w:lineRule="auto"/>
                  <w:jc w:val="center"/>
                  <w:rPr>
                    <w:b/>
                    <w:sz w:val="20"/>
                  </w:rPr>
                </w:pPr>
                <w:r w:rsidRPr="00D968E6">
                  <w:rPr>
                    <w:b/>
                    <w:sz w:val="20"/>
                  </w:rPr>
                  <w:t>As per supplier</w:t>
                </w:r>
                <w:r w:rsidR="00D13006" w:rsidRPr="00D968E6">
                  <w:rPr>
                    <w:b/>
                    <w:sz w:val="20"/>
                  </w:rPr>
                  <w:t xml:space="preserve"> terms</w:t>
                </w:r>
              </w:p>
            </w:tc>
          </w:tr>
          <w:tr w:rsidR="00EE2C8C" w:rsidRPr="00D968E6" w:rsidTr="00D968E6">
            <w:trPr>
              <w:trHeight w:val="1327"/>
            </w:trPr>
            <w:tc>
              <w:tcPr>
                <w:tcW w:w="1881" w:type="dxa"/>
                <w:vAlign w:val="center"/>
              </w:tcPr>
              <w:p w:rsidR="00085F2E" w:rsidRPr="00D968E6" w:rsidRDefault="00085F2E" w:rsidP="00D968E6">
                <w:pPr>
                  <w:spacing w:after="0" w:line="240" w:lineRule="auto"/>
                  <w:rPr>
                    <w:sz w:val="20"/>
                  </w:rPr>
                </w:pPr>
                <w:r w:rsidRPr="00D968E6">
                  <w:rPr>
                    <w:b/>
                    <w:bCs/>
                    <w:sz w:val="20"/>
                  </w:rPr>
                  <w:t>New Non Domestic Buildings</w:t>
                </w:r>
              </w:p>
            </w:tc>
            <w:tc>
              <w:tcPr>
                <w:tcW w:w="1488"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1554" w:type="dxa"/>
                <w:vAlign w:val="center"/>
              </w:tcPr>
              <w:p w:rsidR="00085F2E" w:rsidRPr="00D968E6" w:rsidRDefault="00085F2E" w:rsidP="00D968E6">
                <w:pPr>
                  <w:spacing w:after="0" w:line="240" w:lineRule="auto"/>
                  <w:jc w:val="center"/>
                  <w:rPr>
                    <w:b/>
                    <w:sz w:val="20"/>
                  </w:rPr>
                </w:pPr>
                <w:r w:rsidRPr="00D968E6">
                  <w:rPr>
                    <w:b/>
                    <w:sz w:val="20"/>
                  </w:rPr>
                  <w:t>£225 + VAT</w:t>
                </w:r>
              </w:p>
            </w:tc>
            <w:tc>
              <w:tcPr>
                <w:tcW w:w="2734" w:type="dxa"/>
                <w:vAlign w:val="center"/>
              </w:tcPr>
              <w:p w:rsidR="00085F2E" w:rsidRPr="00D968E6" w:rsidRDefault="0095248B" w:rsidP="00D968E6">
                <w:pPr>
                  <w:spacing w:after="0" w:line="240" w:lineRule="auto"/>
                  <w:jc w:val="center"/>
                  <w:rPr>
                    <w:b/>
                    <w:sz w:val="20"/>
                  </w:rPr>
                </w:pPr>
                <w:r w:rsidRPr="00D968E6">
                  <w:rPr>
                    <w:b/>
                    <w:sz w:val="20"/>
                  </w:rPr>
                  <w:br/>
                  <w:t>£12.50</w:t>
                </w:r>
              </w:p>
            </w:tc>
            <w:tc>
              <w:tcPr>
                <w:tcW w:w="1665" w:type="dxa"/>
                <w:vAlign w:val="center"/>
              </w:tcPr>
              <w:p w:rsidR="00A421B3" w:rsidRPr="00D968E6" w:rsidRDefault="00085F2E" w:rsidP="00D968E6">
                <w:pPr>
                  <w:spacing w:after="0" w:line="240" w:lineRule="auto"/>
                  <w:jc w:val="center"/>
                  <w:rPr>
                    <w:b/>
                    <w:sz w:val="20"/>
                  </w:rPr>
                </w:pPr>
                <w:r w:rsidRPr="00D968E6">
                  <w:rPr>
                    <w:b/>
                    <w:sz w:val="20"/>
                  </w:rPr>
                  <w:t>As per supplier</w:t>
                </w:r>
                <w:r w:rsidR="00D13006" w:rsidRPr="00D968E6">
                  <w:rPr>
                    <w:b/>
                    <w:sz w:val="20"/>
                  </w:rPr>
                  <w:t xml:space="preserve"> terms</w:t>
                </w:r>
                <w:r w:rsidR="00A421B3" w:rsidRPr="00D968E6">
                  <w:rPr>
                    <w:b/>
                    <w:sz w:val="20"/>
                  </w:rPr>
                  <w:t xml:space="preserve"> </w:t>
                </w:r>
                <w:r w:rsidRPr="00D968E6">
                  <w:rPr>
                    <w:b/>
                    <w:sz w:val="20"/>
                  </w:rPr>
                  <w:t xml:space="preserve"> or </w:t>
                </w:r>
              </w:p>
              <w:p w:rsidR="00085F2E" w:rsidRPr="00D968E6" w:rsidRDefault="002A2B54" w:rsidP="00D968E6">
                <w:pPr>
                  <w:spacing w:after="0" w:line="240" w:lineRule="auto"/>
                  <w:jc w:val="center"/>
                  <w:rPr>
                    <w:b/>
                    <w:sz w:val="20"/>
                  </w:rPr>
                </w:pPr>
                <w:r>
                  <w:rPr>
                    <w:b/>
                    <w:sz w:val="20"/>
                  </w:rPr>
                  <w:t>Free</w:t>
                </w:r>
                <w:r w:rsidR="00085F2E" w:rsidRPr="00D968E6">
                  <w:rPr>
                    <w:b/>
                    <w:sz w:val="20"/>
                  </w:rPr>
                  <w:t xml:space="preserve"> if SBEM</w:t>
                </w:r>
              </w:p>
            </w:tc>
          </w:tr>
          <w:tr w:rsidR="00140ED4" w:rsidRPr="00D968E6" w:rsidTr="00D968E6">
            <w:trPr>
              <w:trHeight w:val="704"/>
            </w:trPr>
            <w:tc>
              <w:tcPr>
                <w:tcW w:w="9322" w:type="dxa"/>
                <w:gridSpan w:val="5"/>
                <w:vAlign w:val="center"/>
              </w:tcPr>
              <w:p w:rsidR="00140ED4" w:rsidRDefault="00140ED4" w:rsidP="00D968E6">
                <w:pPr>
                  <w:spacing w:after="0" w:line="240" w:lineRule="auto"/>
                  <w:rPr>
                    <w:b/>
                    <w:sz w:val="20"/>
                  </w:rPr>
                </w:pPr>
                <w:r w:rsidRPr="00D968E6">
                  <w:rPr>
                    <w:b/>
                    <w:sz w:val="20"/>
                  </w:rPr>
                  <w:t>*Membership categories are: Standard for Sole Traders and SME’</w:t>
                </w:r>
                <w:r w:rsidR="00F61C5B" w:rsidRPr="00D968E6">
                  <w:rPr>
                    <w:b/>
                    <w:sz w:val="20"/>
                  </w:rPr>
                  <w:t>s with up to 6</w:t>
                </w:r>
                <w:r w:rsidRPr="00D968E6">
                  <w:rPr>
                    <w:b/>
                    <w:sz w:val="20"/>
                  </w:rPr>
                  <w:t xml:space="preserve"> EPC Certifiers.</w:t>
                </w:r>
                <w:r w:rsidRPr="00D968E6">
                  <w:rPr>
                    <w:b/>
                    <w:sz w:val="20"/>
                  </w:rPr>
                  <w:br/>
                  <w:t>Larger firms can obtain a Corporate package (terms discussed with principals only).</w:t>
                </w:r>
              </w:p>
              <w:p w:rsidR="009537B1" w:rsidRPr="00D968E6" w:rsidRDefault="009537B1" w:rsidP="0008504F">
                <w:pPr>
                  <w:spacing w:after="0" w:line="240" w:lineRule="auto"/>
                  <w:rPr>
                    <w:b/>
                    <w:sz w:val="20"/>
                  </w:rPr>
                </w:pPr>
                <w:r>
                  <w:rPr>
                    <w:b/>
                    <w:sz w:val="20"/>
                  </w:rPr>
                  <w:t>**Standard</w:t>
                </w:r>
                <w:r w:rsidR="0008504F">
                  <w:rPr>
                    <w:b/>
                    <w:sz w:val="20"/>
                  </w:rPr>
                  <w:t xml:space="preserve"> EPC</w:t>
                </w:r>
                <w:r>
                  <w:rPr>
                    <w:b/>
                    <w:sz w:val="20"/>
                  </w:rPr>
                  <w:t xml:space="preserve"> fee</w:t>
                </w:r>
                <w:r w:rsidR="0008504F">
                  <w:rPr>
                    <w:b/>
                    <w:sz w:val="20"/>
                  </w:rPr>
                  <w:t>.  C</w:t>
                </w:r>
                <w:r>
                  <w:rPr>
                    <w:b/>
                    <w:sz w:val="20"/>
                  </w:rPr>
                  <w:t>orporate</w:t>
                </w:r>
                <w:r w:rsidR="0008504F">
                  <w:rPr>
                    <w:b/>
                    <w:sz w:val="20"/>
                  </w:rPr>
                  <w:t xml:space="preserve"> and volume discount rate</w:t>
                </w:r>
                <w:r>
                  <w:rPr>
                    <w:b/>
                    <w:sz w:val="20"/>
                  </w:rPr>
                  <w:t xml:space="preserve"> on application by principal</w:t>
                </w:r>
                <w:r w:rsidR="0008504F">
                  <w:rPr>
                    <w:b/>
                    <w:sz w:val="20"/>
                  </w:rPr>
                  <w:t>s only.</w:t>
                </w:r>
              </w:p>
            </w:tc>
          </w:tr>
          <w:tr w:rsidR="0095248B" w:rsidRPr="00D968E6" w:rsidTr="00D968E6">
            <w:trPr>
              <w:trHeight w:val="268"/>
            </w:trPr>
            <w:tc>
              <w:tcPr>
                <w:tcW w:w="9322" w:type="dxa"/>
                <w:gridSpan w:val="5"/>
              </w:tcPr>
              <w:p w:rsidR="0095248B" w:rsidRPr="00D968E6" w:rsidRDefault="0095248B" w:rsidP="00D968E6">
                <w:pPr>
                  <w:spacing w:after="0" w:line="240" w:lineRule="auto"/>
                  <w:rPr>
                    <w:b/>
                    <w:sz w:val="20"/>
                  </w:rPr>
                </w:pPr>
                <w:r w:rsidRPr="00D968E6">
                  <w:rPr>
                    <w:b/>
                    <w:sz w:val="20"/>
                  </w:rPr>
                  <w:t>N.B.</w:t>
                </w:r>
              </w:p>
              <w:p w:rsidR="00AA068C" w:rsidRPr="00D968E6" w:rsidRDefault="0095248B" w:rsidP="00D968E6">
                <w:pPr>
                  <w:pStyle w:val="ListParagraph"/>
                  <w:numPr>
                    <w:ilvl w:val="0"/>
                    <w:numId w:val="2"/>
                  </w:numPr>
                  <w:spacing w:after="0" w:line="240" w:lineRule="auto"/>
                  <w:rPr>
                    <w:b/>
                    <w:sz w:val="20"/>
                  </w:rPr>
                </w:pPr>
                <w:r w:rsidRPr="00D968E6">
                  <w:rPr>
                    <w:b/>
                    <w:sz w:val="20"/>
                  </w:rPr>
                  <w:t xml:space="preserve">EPC lodgement fees for the HEED Register, operated by the Energy Savings Trust (EST) should also be added.  </w:t>
                </w:r>
              </w:p>
              <w:p w:rsidR="00AA068C" w:rsidRPr="00D968E6" w:rsidRDefault="00AA068C" w:rsidP="00D968E6">
                <w:pPr>
                  <w:pStyle w:val="ListParagraph"/>
                  <w:numPr>
                    <w:ilvl w:val="0"/>
                    <w:numId w:val="2"/>
                  </w:numPr>
                  <w:spacing w:after="0" w:line="240" w:lineRule="auto"/>
                  <w:rPr>
                    <w:b/>
                    <w:sz w:val="20"/>
                  </w:rPr>
                </w:pPr>
                <w:r w:rsidRPr="00D968E6">
                  <w:rPr>
                    <w:b/>
                    <w:sz w:val="20"/>
                  </w:rPr>
                  <w:t>VAT should be added to all fees shown at the prevailing rate (including EST Fees).</w:t>
                </w:r>
                <w:r w:rsidR="0028542E" w:rsidRPr="00D968E6">
                  <w:rPr>
                    <w:b/>
                    <w:sz w:val="20"/>
                  </w:rPr>
                  <w:br/>
                </w:r>
              </w:p>
              <w:p w:rsidR="0095248B" w:rsidRPr="00D968E6" w:rsidRDefault="0095248B" w:rsidP="00D968E6">
                <w:pPr>
                  <w:spacing w:after="0" w:line="240" w:lineRule="auto"/>
                  <w:rPr>
                    <w:b/>
                    <w:sz w:val="20"/>
                  </w:rPr>
                </w:pPr>
                <w:r w:rsidRPr="00D968E6">
                  <w:rPr>
                    <w:b/>
                    <w:sz w:val="20"/>
                  </w:rPr>
                  <w:t>EST Fees as at 01 Jan</w:t>
                </w:r>
                <w:r w:rsidR="002A2B54">
                  <w:rPr>
                    <w:b/>
                    <w:sz w:val="20"/>
                  </w:rPr>
                  <w:t>uary</w:t>
                </w:r>
                <w:r w:rsidRPr="00D968E6">
                  <w:rPr>
                    <w:b/>
                    <w:sz w:val="20"/>
                  </w:rPr>
                  <w:t xml:space="preserve"> 2013 are:</w:t>
                </w:r>
              </w:p>
            </w:tc>
          </w:tr>
          <w:tr w:rsidR="00EE2C8C" w:rsidRPr="00D968E6" w:rsidTr="00D968E6">
            <w:trPr>
              <w:trHeight w:val="307"/>
            </w:trPr>
            <w:tc>
              <w:tcPr>
                <w:tcW w:w="7657" w:type="dxa"/>
                <w:gridSpan w:val="4"/>
                <w:vAlign w:val="center"/>
              </w:tcPr>
              <w:p w:rsidR="00EE2C8C" w:rsidRPr="00D968E6" w:rsidRDefault="00EE2C8C" w:rsidP="00D968E6">
                <w:pPr>
                  <w:spacing w:after="0" w:line="240" w:lineRule="auto"/>
                  <w:rPr>
                    <w:b/>
                    <w:sz w:val="20"/>
                  </w:rPr>
                </w:pPr>
                <w:r w:rsidRPr="00D968E6">
                  <w:rPr>
                    <w:b/>
                    <w:sz w:val="20"/>
                  </w:rPr>
                  <w:t>Domestic EPC registrations (per EPC)</w:t>
                </w:r>
              </w:p>
            </w:tc>
            <w:tc>
              <w:tcPr>
                <w:tcW w:w="1665" w:type="dxa"/>
                <w:vAlign w:val="center"/>
              </w:tcPr>
              <w:p w:rsidR="00EE2C8C" w:rsidRPr="00D968E6" w:rsidRDefault="00EE2C8C" w:rsidP="00D968E6">
                <w:pPr>
                  <w:spacing w:after="0" w:line="240" w:lineRule="auto"/>
                  <w:jc w:val="center"/>
                  <w:rPr>
                    <w:b/>
                    <w:sz w:val="20"/>
                  </w:rPr>
                </w:pPr>
                <w:r w:rsidRPr="00D968E6">
                  <w:rPr>
                    <w:b/>
                    <w:sz w:val="20"/>
                  </w:rPr>
                  <w:t>£1.15</w:t>
                </w:r>
              </w:p>
            </w:tc>
          </w:tr>
          <w:tr w:rsidR="00EE2C8C" w:rsidRPr="00D968E6" w:rsidTr="00D968E6">
            <w:trPr>
              <w:trHeight w:val="268"/>
            </w:trPr>
            <w:tc>
              <w:tcPr>
                <w:tcW w:w="7657" w:type="dxa"/>
                <w:gridSpan w:val="4"/>
                <w:vAlign w:val="center"/>
              </w:tcPr>
              <w:p w:rsidR="0028542E" w:rsidRPr="00D968E6" w:rsidRDefault="00EE2C8C" w:rsidP="00D968E6">
                <w:pPr>
                  <w:spacing w:after="0" w:line="240" w:lineRule="auto"/>
                  <w:rPr>
                    <w:b/>
                    <w:sz w:val="20"/>
                  </w:rPr>
                </w:pPr>
                <w:r w:rsidRPr="00D968E6">
                  <w:rPr>
                    <w:b/>
                    <w:sz w:val="20"/>
                  </w:rPr>
                  <w:t>Non Domestic EPC registrations (per EPC)</w:t>
                </w:r>
              </w:p>
            </w:tc>
            <w:tc>
              <w:tcPr>
                <w:tcW w:w="1665" w:type="dxa"/>
                <w:vAlign w:val="center"/>
              </w:tcPr>
              <w:p w:rsidR="00EE2C8C" w:rsidRPr="00D968E6" w:rsidRDefault="00EE2C8C" w:rsidP="00D968E6">
                <w:pPr>
                  <w:spacing w:after="0" w:line="240" w:lineRule="auto"/>
                  <w:jc w:val="center"/>
                  <w:rPr>
                    <w:b/>
                    <w:sz w:val="20"/>
                  </w:rPr>
                </w:pPr>
                <w:r w:rsidRPr="00D968E6">
                  <w:rPr>
                    <w:b/>
                    <w:sz w:val="20"/>
                  </w:rPr>
                  <w:t>£5.36</w:t>
                </w:r>
              </w:p>
            </w:tc>
          </w:tr>
          <w:tr w:rsidR="0095248B" w:rsidRPr="00D968E6" w:rsidTr="00D968E6">
            <w:trPr>
              <w:trHeight w:val="268"/>
            </w:trPr>
            <w:tc>
              <w:tcPr>
                <w:tcW w:w="9322" w:type="dxa"/>
                <w:gridSpan w:val="5"/>
              </w:tcPr>
              <w:p w:rsidR="0028542E" w:rsidRPr="00D968E6" w:rsidRDefault="0028542E" w:rsidP="00D968E6">
                <w:pPr>
                  <w:spacing w:after="0" w:line="240" w:lineRule="auto"/>
                  <w:jc w:val="center"/>
                  <w:rPr>
                    <w:b/>
                    <w:sz w:val="20"/>
                  </w:rPr>
                </w:pPr>
              </w:p>
              <w:p w:rsidR="0095248B" w:rsidRPr="00D968E6" w:rsidRDefault="00AA068C" w:rsidP="00D968E6">
                <w:pPr>
                  <w:spacing w:after="0" w:line="240" w:lineRule="auto"/>
                  <w:jc w:val="center"/>
                  <w:rPr>
                    <w:b/>
                    <w:sz w:val="20"/>
                  </w:rPr>
                </w:pPr>
                <w:r w:rsidRPr="00D968E6">
                  <w:rPr>
                    <w:b/>
                    <w:sz w:val="20"/>
                  </w:rPr>
                  <w:t>Complaints and Appeals</w:t>
                </w:r>
              </w:p>
              <w:p w:rsidR="00AA068C" w:rsidRPr="00D968E6" w:rsidRDefault="00AA068C" w:rsidP="00D968E6">
                <w:pPr>
                  <w:spacing w:after="0" w:line="240" w:lineRule="auto"/>
                  <w:jc w:val="center"/>
                  <w:rPr>
                    <w:b/>
                    <w:sz w:val="20"/>
                  </w:rPr>
                </w:pPr>
                <w:r w:rsidRPr="00D968E6">
                  <w:rPr>
                    <w:b/>
                    <w:sz w:val="20"/>
                  </w:rPr>
                  <w:t>Please refer to the EPC Scheme Document SD172 (revision 1)</w:t>
                </w:r>
                <w:r w:rsidR="00EF7710" w:rsidRPr="00D968E6">
                  <w:rPr>
                    <w:b/>
                    <w:sz w:val="20"/>
                  </w:rPr>
                  <w:t xml:space="preserve"> </w:t>
                </w:r>
                <w:r w:rsidRPr="00D968E6">
                  <w:rPr>
                    <w:b/>
                    <w:sz w:val="20"/>
                  </w:rPr>
                  <w:t>for further detail on the Complaints, Disputes and Appeals process</w:t>
                </w:r>
              </w:p>
            </w:tc>
          </w:tr>
          <w:tr w:rsidR="0095248B" w:rsidRPr="00D968E6" w:rsidTr="00D968E6">
            <w:trPr>
              <w:trHeight w:val="268"/>
            </w:trPr>
            <w:tc>
              <w:tcPr>
                <w:tcW w:w="7657" w:type="dxa"/>
                <w:gridSpan w:val="4"/>
                <w:vAlign w:val="center"/>
              </w:tcPr>
              <w:p w:rsidR="00474878" w:rsidRPr="00D968E6" w:rsidRDefault="00474878" w:rsidP="00D968E6">
                <w:pPr>
                  <w:spacing w:after="0" w:line="240" w:lineRule="auto"/>
                  <w:rPr>
                    <w:b/>
                    <w:sz w:val="20"/>
                  </w:rPr>
                </w:pPr>
              </w:p>
              <w:p w:rsidR="0095248B" w:rsidRPr="00D968E6" w:rsidRDefault="0095248B" w:rsidP="00D968E6">
                <w:pPr>
                  <w:spacing w:after="0" w:line="240" w:lineRule="auto"/>
                  <w:rPr>
                    <w:b/>
                    <w:sz w:val="20"/>
                  </w:rPr>
                </w:pPr>
                <w:r w:rsidRPr="00D968E6">
                  <w:rPr>
                    <w:b/>
                    <w:sz w:val="20"/>
                  </w:rPr>
                  <w:t>Complaints and appeals fee for all schemes</w:t>
                </w:r>
              </w:p>
              <w:p w:rsidR="0028542E" w:rsidRPr="00D968E6" w:rsidRDefault="0028542E" w:rsidP="00D968E6">
                <w:pPr>
                  <w:spacing w:after="0" w:line="240" w:lineRule="auto"/>
                  <w:rPr>
                    <w:sz w:val="20"/>
                  </w:rPr>
                </w:pPr>
              </w:p>
            </w:tc>
            <w:tc>
              <w:tcPr>
                <w:tcW w:w="1665" w:type="dxa"/>
              </w:tcPr>
              <w:p w:rsidR="00474878" w:rsidRPr="00D968E6" w:rsidRDefault="00474878" w:rsidP="00D968E6">
                <w:pPr>
                  <w:spacing w:after="0" w:line="240" w:lineRule="auto"/>
                  <w:jc w:val="center"/>
                  <w:rPr>
                    <w:b/>
                    <w:sz w:val="20"/>
                  </w:rPr>
                </w:pPr>
              </w:p>
              <w:p w:rsidR="0095248B" w:rsidRPr="00D968E6" w:rsidRDefault="0095248B" w:rsidP="00D968E6">
                <w:pPr>
                  <w:spacing w:after="0" w:line="240" w:lineRule="auto"/>
                  <w:jc w:val="center"/>
                  <w:rPr>
                    <w:b/>
                    <w:sz w:val="20"/>
                  </w:rPr>
                </w:pPr>
                <w:r w:rsidRPr="00D968E6">
                  <w:rPr>
                    <w:b/>
                    <w:sz w:val="20"/>
                  </w:rPr>
                  <w:t xml:space="preserve">£1,500 </w:t>
                </w:r>
                <w:r w:rsidR="00474878" w:rsidRPr="00D968E6">
                  <w:rPr>
                    <w:b/>
                    <w:sz w:val="20"/>
                  </w:rPr>
                  <w:t>(</w:t>
                </w:r>
                <w:r w:rsidRPr="00D968E6">
                  <w:rPr>
                    <w:b/>
                    <w:sz w:val="20"/>
                  </w:rPr>
                  <w:t>+ VAT</w:t>
                </w:r>
                <w:r w:rsidR="00474878" w:rsidRPr="00D968E6">
                  <w:rPr>
                    <w:b/>
                    <w:sz w:val="20"/>
                  </w:rPr>
                  <w:t>)</w:t>
                </w:r>
              </w:p>
            </w:tc>
          </w:tr>
        </w:tbl>
        <w:p w:rsidR="00777EDE" w:rsidRDefault="00777ED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28542E" w:rsidRPr="00D968E6" w:rsidTr="00D968E6">
            <w:tc>
              <w:tcPr>
                <w:tcW w:w="9242" w:type="dxa"/>
              </w:tcPr>
              <w:p w:rsidR="0028542E" w:rsidRPr="00D968E6" w:rsidRDefault="0028542E" w:rsidP="00D968E6">
                <w:pPr>
                  <w:spacing w:after="0" w:line="240" w:lineRule="auto"/>
                  <w:jc w:val="center"/>
                  <w:rPr>
                    <w:b/>
                    <w:sz w:val="20"/>
                  </w:rPr>
                </w:pPr>
              </w:p>
              <w:p w:rsidR="0028542E" w:rsidRPr="00D968E6" w:rsidRDefault="0028542E" w:rsidP="00D968E6">
                <w:pPr>
                  <w:spacing w:after="0" w:line="240" w:lineRule="auto"/>
                  <w:jc w:val="center"/>
                  <w:rPr>
                    <w:b/>
                    <w:sz w:val="20"/>
                  </w:rPr>
                </w:pPr>
                <w:r w:rsidRPr="00D968E6">
                  <w:rPr>
                    <w:b/>
                    <w:sz w:val="20"/>
                  </w:rPr>
                  <w:t>Member Audits</w:t>
                </w:r>
              </w:p>
              <w:p w:rsidR="0028542E" w:rsidRPr="00D968E6" w:rsidRDefault="0028542E" w:rsidP="00D968E6">
                <w:pPr>
                  <w:spacing w:after="0" w:line="240" w:lineRule="auto"/>
                  <w:jc w:val="center"/>
                </w:pPr>
              </w:p>
            </w:tc>
          </w:tr>
          <w:tr w:rsidR="0028542E" w:rsidRPr="00D968E6" w:rsidTr="00D968E6">
            <w:tc>
              <w:tcPr>
                <w:tcW w:w="9242" w:type="dxa"/>
              </w:tcPr>
              <w:p w:rsidR="0028542E" w:rsidRPr="00D968E6" w:rsidRDefault="00474878" w:rsidP="00D968E6">
                <w:pPr>
                  <w:spacing w:after="0" w:line="240" w:lineRule="auto"/>
                  <w:rPr>
                    <w:sz w:val="20"/>
                  </w:rPr>
                </w:pPr>
                <w:r w:rsidRPr="00D968E6">
                  <w:rPr>
                    <w:sz w:val="20"/>
                  </w:rPr>
                  <w:t xml:space="preserve">All </w:t>
                </w:r>
                <w:r w:rsidR="0028542E" w:rsidRPr="00D968E6">
                  <w:rPr>
                    <w:sz w:val="20"/>
                  </w:rPr>
                  <w:t>EPC Audits will follow the requirements of the EPBD (recast) effective from 01 Oct</w:t>
                </w:r>
                <w:r w:rsidR="002A2B54">
                  <w:rPr>
                    <w:sz w:val="20"/>
                  </w:rPr>
                  <w:t>ober</w:t>
                </w:r>
                <w:r w:rsidR="0028542E" w:rsidRPr="00D968E6">
                  <w:rPr>
                    <w:sz w:val="20"/>
                  </w:rPr>
                  <w:t xml:space="preserve"> 2012. The BRE EPC Scheme Member Audit procedure will be followed. Audit Fees will be charged as determined by the class of membership awarded. All member audits will comply with the requirements of the “Operating Framework for Approved Organisations Energy Performance Certificates New and Existing Buildings” as enabled by regulation 8(3) of the Energy Performance of Building regulations (Scotland) 2008.</w:t>
                </w:r>
              </w:p>
              <w:p w:rsidR="0028542E" w:rsidRPr="00D968E6" w:rsidRDefault="0028542E" w:rsidP="00D968E6">
                <w:pPr>
                  <w:spacing w:after="0" w:line="240" w:lineRule="auto"/>
                </w:pPr>
              </w:p>
            </w:tc>
          </w:tr>
          <w:tr w:rsidR="00474878" w:rsidRPr="00D968E6" w:rsidTr="00D968E6">
            <w:tc>
              <w:tcPr>
                <w:tcW w:w="9242" w:type="dxa"/>
              </w:tcPr>
              <w:p w:rsidR="00474878" w:rsidRPr="00D968E6" w:rsidRDefault="00474878" w:rsidP="00D968E6">
                <w:pPr>
                  <w:spacing w:after="0" w:line="240" w:lineRule="auto"/>
                  <w:rPr>
                    <w:sz w:val="20"/>
                  </w:rPr>
                </w:pPr>
                <w:r w:rsidRPr="00D968E6">
                  <w:rPr>
                    <w:b/>
                    <w:sz w:val="20"/>
                  </w:rPr>
                  <w:t>Standard membership audits</w:t>
                </w:r>
                <w:r w:rsidRPr="00D968E6">
                  <w:rPr>
                    <w:sz w:val="20"/>
                  </w:rPr>
                  <w:t xml:space="preserve"> </w:t>
                </w:r>
              </w:p>
              <w:p w:rsidR="00474878" w:rsidRPr="00D968E6" w:rsidRDefault="002A2B54" w:rsidP="00D968E6">
                <w:pPr>
                  <w:spacing w:after="0" w:line="240" w:lineRule="auto"/>
                </w:pPr>
                <w:r>
                  <w:rPr>
                    <w:sz w:val="20"/>
                  </w:rPr>
                  <w:t xml:space="preserve">These </w:t>
                </w:r>
                <w:r w:rsidR="00474878" w:rsidRPr="00D968E6">
                  <w:rPr>
                    <w:sz w:val="20"/>
                  </w:rPr>
                  <w:t>will be risk based with costs recovered from the standard EPC fee. Audits will be desk based and follow the procedures in the BRE EPC Scheme Audit Plan.</w:t>
                </w:r>
              </w:p>
            </w:tc>
          </w:tr>
          <w:tr w:rsidR="00474878" w:rsidRPr="00D968E6" w:rsidTr="00D968E6">
            <w:tc>
              <w:tcPr>
                <w:tcW w:w="9242" w:type="dxa"/>
              </w:tcPr>
              <w:p w:rsidR="00474878" w:rsidRPr="00D968E6" w:rsidRDefault="00474878" w:rsidP="00D968E6">
                <w:pPr>
                  <w:spacing w:after="0" w:line="240" w:lineRule="auto"/>
                  <w:rPr>
                    <w:sz w:val="20"/>
                  </w:rPr>
                </w:pPr>
                <w:r w:rsidRPr="00D968E6">
                  <w:rPr>
                    <w:b/>
                    <w:sz w:val="20"/>
                  </w:rPr>
                  <w:t>Corporate membership audits</w:t>
                </w:r>
                <w:r w:rsidRPr="00D968E6">
                  <w:rPr>
                    <w:sz w:val="20"/>
                  </w:rPr>
                  <w:t xml:space="preserve"> </w:t>
                </w:r>
              </w:p>
              <w:p w:rsidR="00474878" w:rsidRPr="00D968E6" w:rsidRDefault="002A2B54" w:rsidP="00D968E6">
                <w:pPr>
                  <w:spacing w:after="0" w:line="240" w:lineRule="auto"/>
                  <w:rPr>
                    <w:sz w:val="20"/>
                  </w:rPr>
                </w:pPr>
                <w:r>
                  <w:rPr>
                    <w:sz w:val="20"/>
                  </w:rPr>
                  <w:t xml:space="preserve">The costs </w:t>
                </w:r>
                <w:r w:rsidR="00474878" w:rsidRPr="00D968E6">
                  <w:rPr>
                    <w:sz w:val="20"/>
                  </w:rPr>
                  <w:t>will be risk based and incur the fee rate as shown below</w:t>
                </w:r>
              </w:p>
              <w:p w:rsidR="007B1E60" w:rsidRPr="00D968E6" w:rsidRDefault="007B1E60" w:rsidP="00D968E6">
                <w:pPr>
                  <w:spacing w:after="0" w:line="240" w:lineRule="auto"/>
                </w:pPr>
              </w:p>
            </w:tc>
          </w:tr>
        </w:tbl>
        <w:p w:rsidR="007B1E60" w:rsidRDefault="007B1E60">
          <w:pPr>
            <w:rPr>
              <w:b/>
            </w:rPr>
          </w:pPr>
        </w:p>
        <w:p w:rsidR="007B1E60" w:rsidRDefault="007B1E60">
          <w:pPr>
            <w:rPr>
              <w:b/>
            </w:rPr>
          </w:pPr>
          <w:r w:rsidRPr="007B1E60">
            <w:rPr>
              <w:b/>
            </w:rPr>
            <w:t>Corporate member audit fee</w:t>
          </w:r>
          <w:r>
            <w:rPr>
              <w:b/>
            </w:rPr>
            <w:t>s</w:t>
          </w:r>
        </w:p>
        <w:tbl>
          <w:tblPr>
            <w:tblpPr w:leftFromText="180" w:rightFromText="180" w:vertAnchor="text" w:horzAnchor="margin" w:tblpY="2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2641"/>
            <w:gridCol w:w="1328"/>
            <w:gridCol w:w="3274"/>
          </w:tblGrid>
          <w:tr w:rsidR="007B1E60" w:rsidRPr="00D968E6" w:rsidTr="00A421B3">
            <w:tc>
              <w:tcPr>
                <w:tcW w:w="1937" w:type="dxa"/>
                <w:vAlign w:val="center"/>
              </w:tcPr>
              <w:p w:rsidR="007B1E60" w:rsidRPr="00D968E6" w:rsidRDefault="007B1E60" w:rsidP="007B1E60">
                <w:pPr>
                  <w:rPr>
                    <w:b/>
                    <w:sz w:val="20"/>
                    <w:szCs w:val="20"/>
                  </w:rPr>
                </w:pPr>
                <w:r w:rsidRPr="00D968E6">
                  <w:rPr>
                    <w:b/>
                    <w:sz w:val="20"/>
                    <w:szCs w:val="20"/>
                  </w:rPr>
                  <w:t>Audit fees</w:t>
                </w:r>
              </w:p>
            </w:tc>
            <w:tc>
              <w:tcPr>
                <w:tcW w:w="2641" w:type="dxa"/>
              </w:tcPr>
              <w:p w:rsidR="007B1E60" w:rsidRPr="00D968E6" w:rsidRDefault="007B1E60" w:rsidP="007B1E60">
                <w:pPr>
                  <w:rPr>
                    <w:sz w:val="20"/>
                    <w:szCs w:val="20"/>
                  </w:rPr>
                </w:pPr>
                <w:r w:rsidRPr="00D968E6">
                  <w:rPr>
                    <w:sz w:val="20"/>
                    <w:szCs w:val="20"/>
                  </w:rPr>
                  <w:t>£800 per audit day, plus expenses plus VAT.</w:t>
                </w:r>
              </w:p>
            </w:tc>
            <w:tc>
              <w:tcPr>
                <w:tcW w:w="1328" w:type="dxa"/>
                <w:vAlign w:val="center"/>
              </w:tcPr>
              <w:p w:rsidR="007B1E60" w:rsidRPr="00D968E6" w:rsidRDefault="007B1E60" w:rsidP="007B1E60">
                <w:pPr>
                  <w:rPr>
                    <w:b/>
                    <w:sz w:val="20"/>
                    <w:szCs w:val="20"/>
                  </w:rPr>
                </w:pPr>
                <w:r w:rsidRPr="00D968E6">
                  <w:rPr>
                    <w:b/>
                    <w:sz w:val="20"/>
                    <w:szCs w:val="20"/>
                  </w:rPr>
                  <w:t>Audit cycle</w:t>
                </w:r>
              </w:p>
            </w:tc>
            <w:tc>
              <w:tcPr>
                <w:tcW w:w="3274" w:type="dxa"/>
              </w:tcPr>
              <w:p w:rsidR="007B1E60" w:rsidRPr="00D968E6" w:rsidRDefault="007B1E60" w:rsidP="009537B1">
                <w:pPr>
                  <w:rPr>
                    <w:sz w:val="20"/>
                    <w:szCs w:val="20"/>
                  </w:rPr>
                </w:pPr>
                <w:r w:rsidRPr="00D968E6">
                  <w:rPr>
                    <w:sz w:val="20"/>
                    <w:szCs w:val="20"/>
                  </w:rPr>
                  <w:t xml:space="preserve">Audits will initially be at </w:t>
                </w:r>
                <w:r w:rsidR="009537B1">
                  <w:rPr>
                    <w:sz w:val="20"/>
                    <w:szCs w:val="20"/>
                  </w:rPr>
                  <w:t>bi-annual</w:t>
                </w:r>
                <w:r w:rsidRPr="00D968E6">
                  <w:rPr>
                    <w:sz w:val="20"/>
                    <w:szCs w:val="20"/>
                  </w:rPr>
                  <w:t xml:space="preserve"> interval</w:t>
                </w:r>
                <w:r w:rsidR="009537B1">
                  <w:rPr>
                    <w:sz w:val="20"/>
                    <w:szCs w:val="20"/>
                  </w:rPr>
                  <w:t>s</w:t>
                </w:r>
                <w:r w:rsidRPr="00D968E6">
                  <w:rPr>
                    <w:sz w:val="20"/>
                    <w:szCs w:val="20"/>
                  </w:rPr>
                  <w:t>.</w:t>
                </w:r>
              </w:p>
            </w:tc>
          </w:tr>
          <w:tr w:rsidR="007B1E60" w:rsidRPr="00D968E6" w:rsidTr="00A421B3">
            <w:tc>
              <w:tcPr>
                <w:tcW w:w="1937" w:type="dxa"/>
                <w:vAlign w:val="center"/>
              </w:tcPr>
              <w:p w:rsidR="007B1E60" w:rsidRPr="00D968E6" w:rsidRDefault="007B1E60" w:rsidP="007B1E60">
                <w:pPr>
                  <w:rPr>
                    <w:b/>
                    <w:sz w:val="20"/>
                    <w:szCs w:val="20"/>
                  </w:rPr>
                </w:pPr>
                <w:r w:rsidRPr="00D968E6">
                  <w:rPr>
                    <w:b/>
                    <w:sz w:val="20"/>
                    <w:szCs w:val="20"/>
                  </w:rPr>
                  <w:t>Annual membership  fee:</w:t>
                </w:r>
              </w:p>
            </w:tc>
            <w:tc>
              <w:tcPr>
                <w:tcW w:w="2641" w:type="dxa"/>
              </w:tcPr>
              <w:p w:rsidR="007B1E60" w:rsidRPr="00D968E6" w:rsidRDefault="007B1E60" w:rsidP="007B1E60">
                <w:pPr>
                  <w:rPr>
                    <w:sz w:val="20"/>
                    <w:szCs w:val="20"/>
                  </w:rPr>
                </w:pPr>
                <w:r w:rsidRPr="00D968E6">
                  <w:rPr>
                    <w:sz w:val="20"/>
                    <w:szCs w:val="20"/>
                  </w:rPr>
                  <w:t>As per Corporate rate agreement.</w:t>
                </w:r>
              </w:p>
            </w:tc>
            <w:tc>
              <w:tcPr>
                <w:tcW w:w="1328" w:type="dxa"/>
                <w:vAlign w:val="center"/>
              </w:tcPr>
              <w:p w:rsidR="007B1E60" w:rsidRPr="00D968E6" w:rsidRDefault="007B1E60" w:rsidP="007B1E60">
                <w:pPr>
                  <w:rPr>
                    <w:b/>
                    <w:sz w:val="20"/>
                    <w:szCs w:val="20"/>
                  </w:rPr>
                </w:pPr>
                <w:r w:rsidRPr="00D968E6">
                  <w:rPr>
                    <w:b/>
                    <w:sz w:val="20"/>
                    <w:szCs w:val="20"/>
                  </w:rPr>
                  <w:t>Annual Fee:</w:t>
                </w:r>
              </w:p>
            </w:tc>
            <w:tc>
              <w:tcPr>
                <w:tcW w:w="3274" w:type="dxa"/>
              </w:tcPr>
              <w:p w:rsidR="007B1E60" w:rsidRPr="00D968E6" w:rsidRDefault="007B1E60" w:rsidP="007B1E60">
                <w:pPr>
                  <w:rPr>
                    <w:sz w:val="20"/>
                    <w:szCs w:val="20"/>
                  </w:rPr>
                </w:pPr>
                <w:r w:rsidRPr="00D968E6">
                  <w:rPr>
                    <w:sz w:val="20"/>
                    <w:szCs w:val="20"/>
                  </w:rPr>
                  <w:t>As per Corporate rate agreement.</w:t>
                </w:r>
              </w:p>
            </w:tc>
          </w:tr>
        </w:tbl>
        <w:p w:rsidR="00474878" w:rsidRDefault="00474878"/>
        <w:p w:rsidR="00474878" w:rsidRDefault="00474878" w:rsidP="00474878">
          <w:r>
            <w:t>*Concessions and exemptions may apply for existing BRE Scheme members. Please submit an application to obtain confirmation of your eligibility for fee exemptions.</w:t>
          </w:r>
        </w:p>
        <w:p w:rsidR="00474878" w:rsidRDefault="00474878" w:rsidP="00474878">
          <w:r>
            <w:t xml:space="preserve">+Basic unit charge for EPCs based on a low volume use. Volume discount details can be discussed </w:t>
          </w:r>
          <w:r w:rsidR="00A421B3">
            <w:t xml:space="preserve">only </w:t>
          </w:r>
          <w:r>
            <w:t>between the principal of medium to large firms with the Scheme manager.</w:t>
          </w:r>
        </w:p>
        <w:p w:rsidR="009537B1" w:rsidRDefault="009537B1" w:rsidP="00474878">
          <w:r>
            <w:t xml:space="preserve">Existing BRE England &amp; Wales </w:t>
          </w:r>
          <w:proofErr w:type="gramStart"/>
          <w:r>
            <w:t>members  can</w:t>
          </w:r>
          <w:proofErr w:type="gramEnd"/>
          <w:r>
            <w:t xml:space="preserve"> apply for fast track EPC membership, fee concessions may apply.</w:t>
          </w:r>
        </w:p>
        <w:p w:rsidR="00474878" w:rsidRDefault="00BE528E"/>
        <w:customXmlInsRangeStart w:id="2" w:author="smithgk" w:date="2013-01-31T10:47:00Z"/>
      </w:sdtContent>
    </w:sdt>
    <w:customXmlInsRangeEnd w:id="2"/>
    <w:sectPr w:rsidR="00474878" w:rsidSect="002444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C14" w:rsidRDefault="00301C14" w:rsidP="00777EDE">
      <w:pPr>
        <w:spacing w:after="0" w:line="240" w:lineRule="auto"/>
      </w:pPr>
      <w:r>
        <w:separator/>
      </w:r>
    </w:p>
  </w:endnote>
  <w:endnote w:type="continuationSeparator" w:id="0">
    <w:p w:rsidR="00301C14" w:rsidRDefault="00301C14" w:rsidP="0077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081"/>
      <w:gridCol w:w="3019"/>
    </w:tblGrid>
    <w:tr w:rsidR="00A421B3" w:rsidRPr="00D968E6" w:rsidTr="00A421B3">
      <w:trPr>
        <w:trHeight w:val="565"/>
      </w:trPr>
      <w:tc>
        <w:tcPr>
          <w:tcW w:w="3114" w:type="dxa"/>
        </w:tcPr>
        <w:p w:rsidR="00A421B3" w:rsidRPr="00D968E6" w:rsidRDefault="00A421B3" w:rsidP="00D968E6">
          <w:pPr>
            <w:pStyle w:val="Footer"/>
            <w:rPr>
              <w:rFonts w:ascii="Arial" w:hAnsi="Arial" w:cs="Arial"/>
              <w:sz w:val="14"/>
              <w:szCs w:val="14"/>
            </w:rPr>
          </w:pPr>
          <w:r w:rsidRPr="00D968E6">
            <w:rPr>
              <w:rFonts w:ascii="Arial" w:hAnsi="Arial" w:cs="Arial"/>
              <w:sz w:val="14"/>
              <w:szCs w:val="14"/>
            </w:rPr>
            <w:br/>
            <w:t>Uncontrolled copy if printed.</w:t>
          </w:r>
          <w:r w:rsidRPr="00D968E6">
            <w:rPr>
              <w:rFonts w:ascii="Arial" w:hAnsi="Arial" w:cs="Arial"/>
              <w:sz w:val="14"/>
              <w:szCs w:val="14"/>
            </w:rPr>
            <w:br/>
            <w:t>Valid on day of printing only.</w:t>
          </w:r>
        </w:p>
      </w:tc>
      <w:tc>
        <w:tcPr>
          <w:tcW w:w="3081" w:type="dxa"/>
        </w:tcPr>
        <w:p w:rsidR="00A421B3" w:rsidRPr="00D968E6" w:rsidRDefault="00A421B3" w:rsidP="00D968E6">
          <w:pPr>
            <w:pStyle w:val="Footer"/>
            <w:rPr>
              <w:rFonts w:ascii="Arial" w:hAnsi="Arial" w:cs="Arial"/>
              <w:sz w:val="14"/>
              <w:szCs w:val="14"/>
            </w:rPr>
          </w:pPr>
          <w:r w:rsidRPr="00D968E6">
            <w:rPr>
              <w:rFonts w:ascii="Arial" w:hAnsi="Arial" w:cs="Arial"/>
              <w:sz w:val="14"/>
              <w:szCs w:val="14"/>
            </w:rPr>
            <w:br/>
            <w:t>Printed on:</w:t>
          </w:r>
        </w:p>
      </w:tc>
      <w:tc>
        <w:tcPr>
          <w:tcW w:w="3019" w:type="dxa"/>
        </w:tcPr>
        <w:p w:rsidR="00A421B3" w:rsidRPr="00D968E6" w:rsidRDefault="00A421B3" w:rsidP="00A421B3">
          <w:pPr>
            <w:pStyle w:val="Footer"/>
            <w:jc w:val="right"/>
            <w:rPr>
              <w:rFonts w:ascii="Arial" w:hAnsi="Arial" w:cs="Arial"/>
              <w:sz w:val="14"/>
              <w:szCs w:val="14"/>
            </w:rPr>
          </w:pPr>
          <w:r w:rsidRPr="00D968E6">
            <w:rPr>
              <w:rFonts w:ascii="Arial" w:hAnsi="Arial" w:cs="Arial"/>
              <w:sz w:val="14"/>
              <w:szCs w:val="14"/>
            </w:rPr>
            <w:br/>
            <w:t>@ BRE Global 2013</w:t>
          </w:r>
        </w:p>
      </w:tc>
    </w:tr>
  </w:tbl>
  <w:p w:rsidR="00A421B3" w:rsidRDefault="00A42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C14" w:rsidRDefault="00301C14" w:rsidP="00777EDE">
      <w:pPr>
        <w:spacing w:after="0" w:line="240" w:lineRule="auto"/>
      </w:pPr>
      <w:r>
        <w:separator/>
      </w:r>
    </w:p>
  </w:footnote>
  <w:footnote w:type="continuationSeparator" w:id="0">
    <w:p w:rsidR="00301C14" w:rsidRDefault="00301C14" w:rsidP="00777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4931"/>
      <w:gridCol w:w="978"/>
      <w:gridCol w:w="1121"/>
    </w:tblGrid>
    <w:tr w:rsidR="007B1E60" w:rsidRPr="00D968E6" w:rsidTr="00EF7710">
      <w:trPr>
        <w:trHeight w:val="1127"/>
      </w:trPr>
      <w:tc>
        <w:tcPr>
          <w:tcW w:w="2242" w:type="dxa"/>
        </w:tcPr>
        <w:p w:rsidR="007B1E60" w:rsidRPr="00D968E6" w:rsidRDefault="007B1E60" w:rsidP="00EF7710">
          <w:pPr>
            <w:pStyle w:val="Header"/>
            <w:rPr>
              <w:sz w:val="14"/>
            </w:rPr>
          </w:pPr>
          <w:r w:rsidRPr="00D968E6">
            <w:rPr>
              <w:sz w:val="14"/>
            </w:rPr>
            <w:t xml:space="preserve">      </w:t>
          </w:r>
          <w:r w:rsidRPr="00D968E6">
            <w:rPr>
              <w:sz w:val="14"/>
            </w:rPr>
            <w:br/>
            <w:t xml:space="preserve">                </w:t>
          </w:r>
          <w:r w:rsidR="00BE528E">
            <w:rPr>
              <w:noProof/>
              <w:sz w:val="14"/>
              <w:lang w:eastAsia="en-GB"/>
            </w:rPr>
            <w:drawing>
              <wp:inline distT="0" distB="0" distL="0" distR="0">
                <wp:extent cx="619125" cy="581025"/>
                <wp:effectExtent l="0" t="0" r="0" b="0"/>
                <wp:docPr id="1" name="Picture 1" descr="BRE_Certificati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_Certification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a:ln>
                          <a:noFill/>
                        </a:ln>
                      </pic:spPr>
                    </pic:pic>
                  </a:graphicData>
                </a:graphic>
              </wp:inline>
            </w:drawing>
          </w:r>
        </w:p>
      </w:tc>
      <w:tc>
        <w:tcPr>
          <w:tcW w:w="4931" w:type="dxa"/>
        </w:tcPr>
        <w:p w:rsidR="007B1E60" w:rsidRPr="00D968E6" w:rsidRDefault="007B1E60" w:rsidP="0028542E">
          <w:pPr>
            <w:pStyle w:val="Header"/>
            <w:rPr>
              <w:sz w:val="14"/>
            </w:rPr>
          </w:pPr>
        </w:p>
        <w:p w:rsidR="007B1E60" w:rsidRPr="00D968E6" w:rsidRDefault="007B1E60" w:rsidP="0028542E">
          <w:pPr>
            <w:pStyle w:val="Header"/>
            <w:jc w:val="center"/>
            <w:rPr>
              <w:rFonts w:ascii="Arial" w:hAnsi="Arial" w:cs="Arial"/>
              <w:b/>
              <w:sz w:val="14"/>
            </w:rPr>
          </w:pPr>
          <w:r w:rsidRPr="00D968E6">
            <w:rPr>
              <w:rFonts w:ascii="Arial" w:hAnsi="Arial" w:cs="Arial"/>
              <w:b/>
              <w:sz w:val="32"/>
            </w:rPr>
            <w:t>Fee Sheet</w:t>
          </w:r>
        </w:p>
      </w:tc>
      <w:tc>
        <w:tcPr>
          <w:tcW w:w="978" w:type="dxa"/>
        </w:tcPr>
        <w:p w:rsidR="007B1E60" w:rsidRPr="00D968E6" w:rsidRDefault="007B1E60" w:rsidP="0028542E">
          <w:pPr>
            <w:pStyle w:val="Header"/>
            <w:rPr>
              <w:rFonts w:ascii="Arial" w:hAnsi="Arial" w:cs="Arial"/>
              <w:b/>
              <w:sz w:val="14"/>
              <w:szCs w:val="18"/>
            </w:rPr>
          </w:pPr>
        </w:p>
        <w:p w:rsidR="007B1E60" w:rsidRPr="00D968E6" w:rsidRDefault="007B1E60" w:rsidP="0028542E">
          <w:pPr>
            <w:pStyle w:val="Header"/>
            <w:rPr>
              <w:rFonts w:ascii="Arial" w:hAnsi="Arial" w:cs="Arial"/>
              <w:b/>
              <w:sz w:val="14"/>
              <w:szCs w:val="18"/>
            </w:rPr>
          </w:pPr>
        </w:p>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Doc No:</w:t>
          </w:r>
        </w:p>
      </w:tc>
      <w:tc>
        <w:tcPr>
          <w:tcW w:w="1121" w:type="dxa"/>
        </w:tcPr>
        <w:p w:rsidR="007B1E60" w:rsidRPr="00D968E6" w:rsidRDefault="007B1E60" w:rsidP="0028542E">
          <w:pPr>
            <w:pStyle w:val="Header"/>
            <w:rPr>
              <w:rFonts w:ascii="Arial" w:hAnsi="Arial" w:cs="Arial"/>
              <w:b/>
              <w:sz w:val="14"/>
              <w:szCs w:val="18"/>
            </w:rPr>
          </w:pPr>
        </w:p>
        <w:p w:rsidR="007B1E60" w:rsidRPr="00D968E6" w:rsidRDefault="007B1E60" w:rsidP="0028542E">
          <w:pPr>
            <w:pStyle w:val="Header"/>
            <w:rPr>
              <w:rFonts w:ascii="Arial" w:hAnsi="Arial" w:cs="Arial"/>
              <w:b/>
              <w:sz w:val="14"/>
              <w:szCs w:val="18"/>
            </w:rPr>
          </w:pPr>
        </w:p>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FS022</w:t>
          </w:r>
        </w:p>
      </w:tc>
    </w:tr>
    <w:tr w:rsidR="007B1E60" w:rsidRPr="00D968E6" w:rsidTr="00EF7710">
      <w:trPr>
        <w:trHeight w:val="334"/>
      </w:trPr>
      <w:tc>
        <w:tcPr>
          <w:tcW w:w="7173" w:type="dxa"/>
          <w:gridSpan w:val="2"/>
          <w:vMerge w:val="restart"/>
        </w:tcPr>
        <w:p w:rsidR="007B1E60" w:rsidRPr="00D968E6" w:rsidRDefault="007B1E60" w:rsidP="0028542E">
          <w:pPr>
            <w:pStyle w:val="Header"/>
            <w:jc w:val="center"/>
            <w:rPr>
              <w:rFonts w:ascii="Arial" w:hAnsi="Arial" w:cs="Arial"/>
              <w:b/>
              <w:sz w:val="14"/>
            </w:rPr>
          </w:pPr>
          <w:r w:rsidRPr="00EF7710">
            <w:rPr>
              <w:rFonts w:ascii="Arial" w:eastAsia="Times New Roman" w:hAnsi="Arial" w:cs="Arial"/>
              <w:b/>
              <w:bCs/>
              <w:lang w:val="en-US"/>
            </w:rPr>
            <w:t>Energy Performance Certification Scheme for:</w:t>
          </w:r>
          <w:r w:rsidRPr="00EF7710">
            <w:rPr>
              <w:rFonts w:ascii="Arial" w:eastAsia="Times New Roman" w:hAnsi="Arial" w:cs="Arial"/>
              <w:b/>
              <w:bCs/>
              <w:lang w:val="en-US"/>
            </w:rPr>
            <w:br/>
            <w:t>Domestic and Non Domestic Existing Buildings and Domestic and Non Domestic New Buildings in Scotland</w:t>
          </w:r>
        </w:p>
      </w:tc>
      <w:tc>
        <w:tcPr>
          <w:tcW w:w="978" w:type="dxa"/>
        </w:tcPr>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Rev. No.</w:t>
          </w:r>
        </w:p>
      </w:tc>
      <w:tc>
        <w:tcPr>
          <w:tcW w:w="1121" w:type="dxa"/>
        </w:tcPr>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01</w:t>
          </w:r>
        </w:p>
      </w:tc>
    </w:tr>
    <w:tr w:rsidR="007B1E60" w:rsidRPr="00D968E6" w:rsidTr="00EF7710">
      <w:trPr>
        <w:trHeight w:val="119"/>
      </w:trPr>
      <w:tc>
        <w:tcPr>
          <w:tcW w:w="7173" w:type="dxa"/>
          <w:gridSpan w:val="2"/>
          <w:vMerge/>
        </w:tcPr>
        <w:p w:rsidR="007B1E60" w:rsidRPr="00D968E6" w:rsidRDefault="007B1E60" w:rsidP="0028542E">
          <w:pPr>
            <w:pStyle w:val="Header"/>
            <w:rPr>
              <w:sz w:val="14"/>
            </w:rPr>
          </w:pPr>
        </w:p>
      </w:tc>
      <w:tc>
        <w:tcPr>
          <w:tcW w:w="978" w:type="dxa"/>
        </w:tcPr>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Date:</w:t>
          </w:r>
        </w:p>
      </w:tc>
      <w:tc>
        <w:tcPr>
          <w:tcW w:w="1121" w:type="dxa"/>
        </w:tcPr>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01/01/2013</w:t>
          </w:r>
        </w:p>
      </w:tc>
    </w:tr>
    <w:tr w:rsidR="007B1E60" w:rsidRPr="00D968E6" w:rsidTr="00EF7710">
      <w:trPr>
        <w:trHeight w:val="119"/>
      </w:trPr>
      <w:tc>
        <w:tcPr>
          <w:tcW w:w="7173" w:type="dxa"/>
          <w:gridSpan w:val="2"/>
          <w:vMerge/>
        </w:tcPr>
        <w:p w:rsidR="007B1E60" w:rsidRPr="00D968E6" w:rsidRDefault="007B1E60" w:rsidP="0028542E">
          <w:pPr>
            <w:pStyle w:val="Header"/>
            <w:rPr>
              <w:sz w:val="14"/>
            </w:rPr>
          </w:pPr>
        </w:p>
      </w:tc>
      <w:tc>
        <w:tcPr>
          <w:tcW w:w="978" w:type="dxa"/>
        </w:tcPr>
        <w:p w:rsidR="007B1E60" w:rsidRPr="00D968E6" w:rsidRDefault="007B1E60" w:rsidP="0028542E">
          <w:pPr>
            <w:pStyle w:val="Header"/>
            <w:rPr>
              <w:rFonts w:ascii="Arial" w:hAnsi="Arial" w:cs="Arial"/>
              <w:b/>
              <w:sz w:val="14"/>
              <w:szCs w:val="18"/>
            </w:rPr>
          </w:pPr>
          <w:r w:rsidRPr="00D968E6">
            <w:rPr>
              <w:rFonts w:ascii="Arial" w:hAnsi="Arial" w:cs="Arial"/>
              <w:b/>
              <w:sz w:val="14"/>
              <w:szCs w:val="18"/>
            </w:rPr>
            <w:t>Page:</w:t>
          </w:r>
        </w:p>
      </w:tc>
      <w:tc>
        <w:tcPr>
          <w:tcW w:w="1121" w:type="dxa"/>
        </w:tcPr>
        <w:p w:rsidR="007B1E60" w:rsidRPr="00D968E6" w:rsidRDefault="007B1E60" w:rsidP="00A421B3">
          <w:pPr>
            <w:pStyle w:val="Header"/>
            <w:rPr>
              <w:rFonts w:ascii="Arial" w:hAnsi="Arial" w:cs="Arial"/>
              <w:b/>
              <w:sz w:val="14"/>
              <w:szCs w:val="18"/>
            </w:rPr>
          </w:pPr>
          <w:r w:rsidRPr="00D968E6">
            <w:rPr>
              <w:rFonts w:ascii="Arial" w:hAnsi="Arial" w:cs="Arial"/>
              <w:b/>
              <w:sz w:val="14"/>
              <w:szCs w:val="18"/>
            </w:rPr>
            <w:t xml:space="preserve">Page </w:t>
          </w:r>
          <w:r w:rsidRPr="00D968E6">
            <w:rPr>
              <w:rFonts w:ascii="Arial" w:hAnsi="Arial" w:cs="Arial"/>
              <w:b/>
              <w:sz w:val="14"/>
              <w:szCs w:val="18"/>
            </w:rPr>
            <w:fldChar w:fldCharType="begin"/>
          </w:r>
          <w:r w:rsidRPr="00D968E6">
            <w:rPr>
              <w:rFonts w:ascii="Arial" w:hAnsi="Arial" w:cs="Arial"/>
              <w:b/>
              <w:sz w:val="14"/>
              <w:szCs w:val="18"/>
            </w:rPr>
            <w:instrText xml:space="preserve"> PAGE   \* MERGEFORMAT </w:instrText>
          </w:r>
          <w:r w:rsidRPr="00D968E6">
            <w:rPr>
              <w:rFonts w:ascii="Arial" w:hAnsi="Arial" w:cs="Arial"/>
              <w:b/>
              <w:sz w:val="14"/>
              <w:szCs w:val="18"/>
            </w:rPr>
            <w:fldChar w:fldCharType="separate"/>
          </w:r>
          <w:r w:rsidR="00BE528E">
            <w:rPr>
              <w:rFonts w:ascii="Arial" w:hAnsi="Arial" w:cs="Arial"/>
              <w:b/>
              <w:noProof/>
              <w:sz w:val="14"/>
              <w:szCs w:val="18"/>
            </w:rPr>
            <w:t>1</w:t>
          </w:r>
          <w:r w:rsidRPr="00D968E6">
            <w:rPr>
              <w:rFonts w:ascii="Arial" w:hAnsi="Arial" w:cs="Arial"/>
              <w:b/>
              <w:sz w:val="14"/>
              <w:szCs w:val="18"/>
            </w:rPr>
            <w:fldChar w:fldCharType="end"/>
          </w:r>
          <w:r w:rsidRPr="00D968E6">
            <w:rPr>
              <w:rFonts w:ascii="Arial" w:hAnsi="Arial" w:cs="Arial"/>
              <w:b/>
              <w:sz w:val="14"/>
              <w:szCs w:val="18"/>
            </w:rPr>
            <w:t xml:space="preserve"> </w:t>
          </w:r>
        </w:p>
      </w:tc>
    </w:tr>
  </w:tbl>
  <w:p w:rsidR="007B1E60" w:rsidRDefault="007B1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6D7"/>
    <w:multiLevelType w:val="hybridMultilevel"/>
    <w:tmpl w:val="CC58D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B38126C"/>
    <w:multiLevelType w:val="hybridMultilevel"/>
    <w:tmpl w:val="F5A6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DE"/>
    <w:rsid w:val="00004326"/>
    <w:rsid w:val="0000680F"/>
    <w:rsid w:val="00007393"/>
    <w:rsid w:val="0000770A"/>
    <w:rsid w:val="00011311"/>
    <w:rsid w:val="00013473"/>
    <w:rsid w:val="000134B7"/>
    <w:rsid w:val="00016694"/>
    <w:rsid w:val="000206C0"/>
    <w:rsid w:val="00020EA7"/>
    <w:rsid w:val="00021D2D"/>
    <w:rsid w:val="00022485"/>
    <w:rsid w:val="0002377E"/>
    <w:rsid w:val="00025C3C"/>
    <w:rsid w:val="00027B39"/>
    <w:rsid w:val="00030AF3"/>
    <w:rsid w:val="00031708"/>
    <w:rsid w:val="00034C90"/>
    <w:rsid w:val="00034E33"/>
    <w:rsid w:val="00037BFD"/>
    <w:rsid w:val="000400F8"/>
    <w:rsid w:val="00040432"/>
    <w:rsid w:val="00040AF0"/>
    <w:rsid w:val="000443ED"/>
    <w:rsid w:val="00045E54"/>
    <w:rsid w:val="00047541"/>
    <w:rsid w:val="0004795E"/>
    <w:rsid w:val="00047BB1"/>
    <w:rsid w:val="000513C6"/>
    <w:rsid w:val="00051F82"/>
    <w:rsid w:val="0005298D"/>
    <w:rsid w:val="00056CAE"/>
    <w:rsid w:val="000577B8"/>
    <w:rsid w:val="00057BFC"/>
    <w:rsid w:val="0006791F"/>
    <w:rsid w:val="000706C6"/>
    <w:rsid w:val="00071C88"/>
    <w:rsid w:val="00071E94"/>
    <w:rsid w:val="0007404A"/>
    <w:rsid w:val="000748C8"/>
    <w:rsid w:val="00074E70"/>
    <w:rsid w:val="00080B5D"/>
    <w:rsid w:val="00082094"/>
    <w:rsid w:val="00082924"/>
    <w:rsid w:val="00082DCE"/>
    <w:rsid w:val="00082E17"/>
    <w:rsid w:val="0008473B"/>
    <w:rsid w:val="0008504F"/>
    <w:rsid w:val="00085312"/>
    <w:rsid w:val="00085F2E"/>
    <w:rsid w:val="00086C94"/>
    <w:rsid w:val="00092F49"/>
    <w:rsid w:val="00093AD1"/>
    <w:rsid w:val="00094132"/>
    <w:rsid w:val="00094ECB"/>
    <w:rsid w:val="000962BF"/>
    <w:rsid w:val="00096DF8"/>
    <w:rsid w:val="00097A87"/>
    <w:rsid w:val="00097CBE"/>
    <w:rsid w:val="000A0125"/>
    <w:rsid w:val="000A1203"/>
    <w:rsid w:val="000A1FAE"/>
    <w:rsid w:val="000A3C28"/>
    <w:rsid w:val="000B220A"/>
    <w:rsid w:val="000B233E"/>
    <w:rsid w:val="000B27A4"/>
    <w:rsid w:val="000B3AA4"/>
    <w:rsid w:val="000B3B3E"/>
    <w:rsid w:val="000B4087"/>
    <w:rsid w:val="000B56AF"/>
    <w:rsid w:val="000C0C35"/>
    <w:rsid w:val="000C2033"/>
    <w:rsid w:val="000C501D"/>
    <w:rsid w:val="000C50CE"/>
    <w:rsid w:val="000C7380"/>
    <w:rsid w:val="000C7B71"/>
    <w:rsid w:val="000D0057"/>
    <w:rsid w:val="000D3594"/>
    <w:rsid w:val="000D5E60"/>
    <w:rsid w:val="000D6BC2"/>
    <w:rsid w:val="000E4176"/>
    <w:rsid w:val="000E586C"/>
    <w:rsid w:val="000E5932"/>
    <w:rsid w:val="000F0DDD"/>
    <w:rsid w:val="000F1FA8"/>
    <w:rsid w:val="000F5EF6"/>
    <w:rsid w:val="000F75C4"/>
    <w:rsid w:val="00101CA6"/>
    <w:rsid w:val="00103C4E"/>
    <w:rsid w:val="00104EDA"/>
    <w:rsid w:val="001068CF"/>
    <w:rsid w:val="001070EA"/>
    <w:rsid w:val="00107441"/>
    <w:rsid w:val="00111DF3"/>
    <w:rsid w:val="00112903"/>
    <w:rsid w:val="0011416E"/>
    <w:rsid w:val="00114A96"/>
    <w:rsid w:val="00121474"/>
    <w:rsid w:val="0012289F"/>
    <w:rsid w:val="001240FB"/>
    <w:rsid w:val="00126401"/>
    <w:rsid w:val="00130488"/>
    <w:rsid w:val="0013077E"/>
    <w:rsid w:val="001309F3"/>
    <w:rsid w:val="00132708"/>
    <w:rsid w:val="00137A75"/>
    <w:rsid w:val="00137BF7"/>
    <w:rsid w:val="00137DA6"/>
    <w:rsid w:val="00140ED4"/>
    <w:rsid w:val="0014679E"/>
    <w:rsid w:val="00152B70"/>
    <w:rsid w:val="00153D2A"/>
    <w:rsid w:val="001540B4"/>
    <w:rsid w:val="00156CA9"/>
    <w:rsid w:val="001611B5"/>
    <w:rsid w:val="00161A3A"/>
    <w:rsid w:val="00161BB7"/>
    <w:rsid w:val="00162628"/>
    <w:rsid w:val="0016354A"/>
    <w:rsid w:val="00163E08"/>
    <w:rsid w:val="0016411A"/>
    <w:rsid w:val="00166016"/>
    <w:rsid w:val="001702B7"/>
    <w:rsid w:val="00172C0D"/>
    <w:rsid w:val="00173018"/>
    <w:rsid w:val="0017309D"/>
    <w:rsid w:val="00173C65"/>
    <w:rsid w:val="00175530"/>
    <w:rsid w:val="00175FEF"/>
    <w:rsid w:val="00176384"/>
    <w:rsid w:val="00176B02"/>
    <w:rsid w:val="00183D2E"/>
    <w:rsid w:val="001876BA"/>
    <w:rsid w:val="00187C2A"/>
    <w:rsid w:val="001911C3"/>
    <w:rsid w:val="00191E9D"/>
    <w:rsid w:val="0019207A"/>
    <w:rsid w:val="00193BB8"/>
    <w:rsid w:val="001949EE"/>
    <w:rsid w:val="001A04FF"/>
    <w:rsid w:val="001A119C"/>
    <w:rsid w:val="001A4A70"/>
    <w:rsid w:val="001A75A7"/>
    <w:rsid w:val="001A7602"/>
    <w:rsid w:val="001B0FBC"/>
    <w:rsid w:val="001B2578"/>
    <w:rsid w:val="001B56E9"/>
    <w:rsid w:val="001C029F"/>
    <w:rsid w:val="001C2940"/>
    <w:rsid w:val="001C29D7"/>
    <w:rsid w:val="001C2A3D"/>
    <w:rsid w:val="001C6225"/>
    <w:rsid w:val="001C743D"/>
    <w:rsid w:val="001D0E64"/>
    <w:rsid w:val="001D1727"/>
    <w:rsid w:val="001D5B56"/>
    <w:rsid w:val="001E11C9"/>
    <w:rsid w:val="001E1531"/>
    <w:rsid w:val="001E2E66"/>
    <w:rsid w:val="001E3A39"/>
    <w:rsid w:val="001E58E8"/>
    <w:rsid w:val="001E63C4"/>
    <w:rsid w:val="001F193C"/>
    <w:rsid w:val="001F2294"/>
    <w:rsid w:val="001F2DBE"/>
    <w:rsid w:val="001F31BA"/>
    <w:rsid w:val="001F378C"/>
    <w:rsid w:val="001F500D"/>
    <w:rsid w:val="00200D7B"/>
    <w:rsid w:val="00203C91"/>
    <w:rsid w:val="0020710B"/>
    <w:rsid w:val="00207755"/>
    <w:rsid w:val="0021069E"/>
    <w:rsid w:val="0021254D"/>
    <w:rsid w:val="00212831"/>
    <w:rsid w:val="00213A3C"/>
    <w:rsid w:val="002208B8"/>
    <w:rsid w:val="002258A5"/>
    <w:rsid w:val="002274E7"/>
    <w:rsid w:val="002275C9"/>
    <w:rsid w:val="00227909"/>
    <w:rsid w:val="00231917"/>
    <w:rsid w:val="00232776"/>
    <w:rsid w:val="00237DA1"/>
    <w:rsid w:val="002404EE"/>
    <w:rsid w:val="00240658"/>
    <w:rsid w:val="00243771"/>
    <w:rsid w:val="0024442B"/>
    <w:rsid w:val="0024503F"/>
    <w:rsid w:val="002462D3"/>
    <w:rsid w:val="002502BC"/>
    <w:rsid w:val="00251752"/>
    <w:rsid w:val="0025540C"/>
    <w:rsid w:val="002575BD"/>
    <w:rsid w:val="002608DB"/>
    <w:rsid w:val="00262642"/>
    <w:rsid w:val="002628FC"/>
    <w:rsid w:val="0026356B"/>
    <w:rsid w:val="00265526"/>
    <w:rsid w:val="0026552E"/>
    <w:rsid w:val="00265ED8"/>
    <w:rsid w:val="00265FE6"/>
    <w:rsid w:val="002662C3"/>
    <w:rsid w:val="00270053"/>
    <w:rsid w:val="002731C0"/>
    <w:rsid w:val="002751D3"/>
    <w:rsid w:val="00275E9C"/>
    <w:rsid w:val="00277B6C"/>
    <w:rsid w:val="00281999"/>
    <w:rsid w:val="00282948"/>
    <w:rsid w:val="002850DF"/>
    <w:rsid w:val="0028542E"/>
    <w:rsid w:val="00285A5B"/>
    <w:rsid w:val="00287983"/>
    <w:rsid w:val="00290793"/>
    <w:rsid w:val="00291EF3"/>
    <w:rsid w:val="00292B3B"/>
    <w:rsid w:val="00292CA3"/>
    <w:rsid w:val="002962A3"/>
    <w:rsid w:val="002A2B54"/>
    <w:rsid w:val="002A3CC3"/>
    <w:rsid w:val="002A5A81"/>
    <w:rsid w:val="002A60A5"/>
    <w:rsid w:val="002A6B88"/>
    <w:rsid w:val="002A6F71"/>
    <w:rsid w:val="002A720C"/>
    <w:rsid w:val="002B097F"/>
    <w:rsid w:val="002B349B"/>
    <w:rsid w:val="002B369C"/>
    <w:rsid w:val="002B493D"/>
    <w:rsid w:val="002B50B0"/>
    <w:rsid w:val="002B703E"/>
    <w:rsid w:val="002B729C"/>
    <w:rsid w:val="002B7860"/>
    <w:rsid w:val="002C0132"/>
    <w:rsid w:val="002C1F1C"/>
    <w:rsid w:val="002C2598"/>
    <w:rsid w:val="002C61BA"/>
    <w:rsid w:val="002C70A5"/>
    <w:rsid w:val="002C765A"/>
    <w:rsid w:val="002D3D6F"/>
    <w:rsid w:val="002D4E6B"/>
    <w:rsid w:val="002D721E"/>
    <w:rsid w:val="002D7A2D"/>
    <w:rsid w:val="002E1162"/>
    <w:rsid w:val="002E11FA"/>
    <w:rsid w:val="002E1ECB"/>
    <w:rsid w:val="002E5FD3"/>
    <w:rsid w:val="002E7EA3"/>
    <w:rsid w:val="002F0C47"/>
    <w:rsid w:val="002F199D"/>
    <w:rsid w:val="002F642D"/>
    <w:rsid w:val="002F722B"/>
    <w:rsid w:val="002F7B24"/>
    <w:rsid w:val="00300DDA"/>
    <w:rsid w:val="00300E99"/>
    <w:rsid w:val="00301C14"/>
    <w:rsid w:val="00302DE1"/>
    <w:rsid w:val="003039F7"/>
    <w:rsid w:val="00303E20"/>
    <w:rsid w:val="003076E7"/>
    <w:rsid w:val="00311D5D"/>
    <w:rsid w:val="003126A4"/>
    <w:rsid w:val="0031327B"/>
    <w:rsid w:val="003141DF"/>
    <w:rsid w:val="00315CC7"/>
    <w:rsid w:val="003211E8"/>
    <w:rsid w:val="0032161D"/>
    <w:rsid w:val="00322197"/>
    <w:rsid w:val="003226E1"/>
    <w:rsid w:val="0032396B"/>
    <w:rsid w:val="00324041"/>
    <w:rsid w:val="00324E5F"/>
    <w:rsid w:val="0033016A"/>
    <w:rsid w:val="00335715"/>
    <w:rsid w:val="0033578B"/>
    <w:rsid w:val="00336282"/>
    <w:rsid w:val="0033788B"/>
    <w:rsid w:val="0034025F"/>
    <w:rsid w:val="00341FAD"/>
    <w:rsid w:val="003428F7"/>
    <w:rsid w:val="00343111"/>
    <w:rsid w:val="003520D6"/>
    <w:rsid w:val="00352BC9"/>
    <w:rsid w:val="00353373"/>
    <w:rsid w:val="0035451C"/>
    <w:rsid w:val="00355A0B"/>
    <w:rsid w:val="00356BF7"/>
    <w:rsid w:val="003611BC"/>
    <w:rsid w:val="00362C07"/>
    <w:rsid w:val="003668AB"/>
    <w:rsid w:val="00371D64"/>
    <w:rsid w:val="003741B4"/>
    <w:rsid w:val="00377170"/>
    <w:rsid w:val="00382313"/>
    <w:rsid w:val="00386069"/>
    <w:rsid w:val="00387B0C"/>
    <w:rsid w:val="003918B9"/>
    <w:rsid w:val="00394050"/>
    <w:rsid w:val="00394D38"/>
    <w:rsid w:val="00395732"/>
    <w:rsid w:val="003978CE"/>
    <w:rsid w:val="00397C65"/>
    <w:rsid w:val="003A178F"/>
    <w:rsid w:val="003A1ED7"/>
    <w:rsid w:val="003A7377"/>
    <w:rsid w:val="003B0BC2"/>
    <w:rsid w:val="003B35A3"/>
    <w:rsid w:val="003B6239"/>
    <w:rsid w:val="003B7191"/>
    <w:rsid w:val="003B72D4"/>
    <w:rsid w:val="003C1CEA"/>
    <w:rsid w:val="003C2497"/>
    <w:rsid w:val="003C3B06"/>
    <w:rsid w:val="003D00C6"/>
    <w:rsid w:val="003D22A8"/>
    <w:rsid w:val="003D48A9"/>
    <w:rsid w:val="003D5569"/>
    <w:rsid w:val="003D65A6"/>
    <w:rsid w:val="003E1570"/>
    <w:rsid w:val="003E39EC"/>
    <w:rsid w:val="003F0757"/>
    <w:rsid w:val="003F1711"/>
    <w:rsid w:val="003F4274"/>
    <w:rsid w:val="003F797F"/>
    <w:rsid w:val="00400BDA"/>
    <w:rsid w:val="00402B88"/>
    <w:rsid w:val="00404322"/>
    <w:rsid w:val="004059CE"/>
    <w:rsid w:val="0041417E"/>
    <w:rsid w:val="0041603F"/>
    <w:rsid w:val="004173AB"/>
    <w:rsid w:val="00417F2E"/>
    <w:rsid w:val="00424AAB"/>
    <w:rsid w:val="00425665"/>
    <w:rsid w:val="0042623A"/>
    <w:rsid w:val="00426AEE"/>
    <w:rsid w:val="00431664"/>
    <w:rsid w:val="00433447"/>
    <w:rsid w:val="00433568"/>
    <w:rsid w:val="00436CC4"/>
    <w:rsid w:val="00440305"/>
    <w:rsid w:val="00441073"/>
    <w:rsid w:val="00441FF7"/>
    <w:rsid w:val="00444E29"/>
    <w:rsid w:val="00445B0B"/>
    <w:rsid w:val="004464BA"/>
    <w:rsid w:val="00447398"/>
    <w:rsid w:val="0044786C"/>
    <w:rsid w:val="00455189"/>
    <w:rsid w:val="00456D61"/>
    <w:rsid w:val="004611E4"/>
    <w:rsid w:val="00461D27"/>
    <w:rsid w:val="004627DE"/>
    <w:rsid w:val="0046342A"/>
    <w:rsid w:val="0046585E"/>
    <w:rsid w:val="004719E7"/>
    <w:rsid w:val="00473AB0"/>
    <w:rsid w:val="00474878"/>
    <w:rsid w:val="00475CEF"/>
    <w:rsid w:val="0047676D"/>
    <w:rsid w:val="004775F0"/>
    <w:rsid w:val="004825CE"/>
    <w:rsid w:val="0048309A"/>
    <w:rsid w:val="00483CC9"/>
    <w:rsid w:val="00485DCD"/>
    <w:rsid w:val="00491A7A"/>
    <w:rsid w:val="00493B5B"/>
    <w:rsid w:val="004962A8"/>
    <w:rsid w:val="004979DF"/>
    <w:rsid w:val="00497B1F"/>
    <w:rsid w:val="004A063C"/>
    <w:rsid w:val="004A42AE"/>
    <w:rsid w:val="004A43C0"/>
    <w:rsid w:val="004A51C9"/>
    <w:rsid w:val="004A6284"/>
    <w:rsid w:val="004A7939"/>
    <w:rsid w:val="004B0274"/>
    <w:rsid w:val="004B0AF4"/>
    <w:rsid w:val="004B2E46"/>
    <w:rsid w:val="004B2EB4"/>
    <w:rsid w:val="004B32A9"/>
    <w:rsid w:val="004B7E9B"/>
    <w:rsid w:val="004C1CF8"/>
    <w:rsid w:val="004C6A47"/>
    <w:rsid w:val="004D268C"/>
    <w:rsid w:val="004D29A0"/>
    <w:rsid w:val="004D2FF8"/>
    <w:rsid w:val="004D4C51"/>
    <w:rsid w:val="004E1357"/>
    <w:rsid w:val="004E2043"/>
    <w:rsid w:val="004E30FD"/>
    <w:rsid w:val="004E516B"/>
    <w:rsid w:val="004E74B4"/>
    <w:rsid w:val="004F0EAE"/>
    <w:rsid w:val="004F2594"/>
    <w:rsid w:val="004F359A"/>
    <w:rsid w:val="004F4180"/>
    <w:rsid w:val="004F4370"/>
    <w:rsid w:val="004F4E15"/>
    <w:rsid w:val="004F62A6"/>
    <w:rsid w:val="004F6699"/>
    <w:rsid w:val="004F6B1A"/>
    <w:rsid w:val="004F736C"/>
    <w:rsid w:val="0050101F"/>
    <w:rsid w:val="00502ACB"/>
    <w:rsid w:val="00503F51"/>
    <w:rsid w:val="00506E1F"/>
    <w:rsid w:val="00506EBA"/>
    <w:rsid w:val="00510F65"/>
    <w:rsid w:val="00511210"/>
    <w:rsid w:val="00513994"/>
    <w:rsid w:val="00517085"/>
    <w:rsid w:val="00517D8F"/>
    <w:rsid w:val="0052049F"/>
    <w:rsid w:val="0052138B"/>
    <w:rsid w:val="00522EED"/>
    <w:rsid w:val="00526EDF"/>
    <w:rsid w:val="00531891"/>
    <w:rsid w:val="00531B45"/>
    <w:rsid w:val="00534266"/>
    <w:rsid w:val="005409A7"/>
    <w:rsid w:val="005420A3"/>
    <w:rsid w:val="00542E28"/>
    <w:rsid w:val="00543555"/>
    <w:rsid w:val="00543809"/>
    <w:rsid w:val="0054660E"/>
    <w:rsid w:val="00550577"/>
    <w:rsid w:val="00550738"/>
    <w:rsid w:val="005520FC"/>
    <w:rsid w:val="005554E5"/>
    <w:rsid w:val="005555C3"/>
    <w:rsid w:val="00560714"/>
    <w:rsid w:val="00564B78"/>
    <w:rsid w:val="00565749"/>
    <w:rsid w:val="00571C0C"/>
    <w:rsid w:val="00573EB8"/>
    <w:rsid w:val="005772E7"/>
    <w:rsid w:val="00580EC2"/>
    <w:rsid w:val="005811E0"/>
    <w:rsid w:val="00581EB0"/>
    <w:rsid w:val="00582D5E"/>
    <w:rsid w:val="00584750"/>
    <w:rsid w:val="00590CED"/>
    <w:rsid w:val="00593F02"/>
    <w:rsid w:val="00594395"/>
    <w:rsid w:val="00596BA9"/>
    <w:rsid w:val="00597517"/>
    <w:rsid w:val="005A1A77"/>
    <w:rsid w:val="005A33AA"/>
    <w:rsid w:val="005A59C0"/>
    <w:rsid w:val="005A6845"/>
    <w:rsid w:val="005B0CFB"/>
    <w:rsid w:val="005B1403"/>
    <w:rsid w:val="005B6665"/>
    <w:rsid w:val="005B70D5"/>
    <w:rsid w:val="005B7E22"/>
    <w:rsid w:val="005C301C"/>
    <w:rsid w:val="005C3EA6"/>
    <w:rsid w:val="005C51DE"/>
    <w:rsid w:val="005C52F9"/>
    <w:rsid w:val="005C6859"/>
    <w:rsid w:val="005D3768"/>
    <w:rsid w:val="005D4F78"/>
    <w:rsid w:val="005D6A74"/>
    <w:rsid w:val="005D7B94"/>
    <w:rsid w:val="005E0DF0"/>
    <w:rsid w:val="005E2D4F"/>
    <w:rsid w:val="005E3E79"/>
    <w:rsid w:val="005E5C7A"/>
    <w:rsid w:val="005F0203"/>
    <w:rsid w:val="005F0B58"/>
    <w:rsid w:val="005F2376"/>
    <w:rsid w:val="005F47B2"/>
    <w:rsid w:val="005F487B"/>
    <w:rsid w:val="005F4994"/>
    <w:rsid w:val="005F4F1A"/>
    <w:rsid w:val="005F774D"/>
    <w:rsid w:val="00603CAB"/>
    <w:rsid w:val="0060617D"/>
    <w:rsid w:val="006071EF"/>
    <w:rsid w:val="00612F8F"/>
    <w:rsid w:val="00613408"/>
    <w:rsid w:val="0061489C"/>
    <w:rsid w:val="00614D49"/>
    <w:rsid w:val="00615748"/>
    <w:rsid w:val="00620DA1"/>
    <w:rsid w:val="00623902"/>
    <w:rsid w:val="0062502D"/>
    <w:rsid w:val="006258DB"/>
    <w:rsid w:val="006266D0"/>
    <w:rsid w:val="0062726C"/>
    <w:rsid w:val="006305EE"/>
    <w:rsid w:val="00630DD2"/>
    <w:rsid w:val="00635079"/>
    <w:rsid w:val="00637D40"/>
    <w:rsid w:val="00640DF1"/>
    <w:rsid w:val="0064102A"/>
    <w:rsid w:val="00641FFC"/>
    <w:rsid w:val="00642E55"/>
    <w:rsid w:val="00644AF6"/>
    <w:rsid w:val="00645B07"/>
    <w:rsid w:val="006469BC"/>
    <w:rsid w:val="00646A11"/>
    <w:rsid w:val="006471E3"/>
    <w:rsid w:val="006503CC"/>
    <w:rsid w:val="00650EA0"/>
    <w:rsid w:val="0065174C"/>
    <w:rsid w:val="00652C95"/>
    <w:rsid w:val="00652FCC"/>
    <w:rsid w:val="00656C8E"/>
    <w:rsid w:val="00662E95"/>
    <w:rsid w:val="00663B32"/>
    <w:rsid w:val="00663DD6"/>
    <w:rsid w:val="00663FAA"/>
    <w:rsid w:val="006642F5"/>
    <w:rsid w:val="00665A3F"/>
    <w:rsid w:val="00667413"/>
    <w:rsid w:val="0067797D"/>
    <w:rsid w:val="00680376"/>
    <w:rsid w:val="00681100"/>
    <w:rsid w:val="006834C6"/>
    <w:rsid w:val="00684595"/>
    <w:rsid w:val="00684F77"/>
    <w:rsid w:val="00693885"/>
    <w:rsid w:val="00693F56"/>
    <w:rsid w:val="00697B7B"/>
    <w:rsid w:val="006A1988"/>
    <w:rsid w:val="006A3238"/>
    <w:rsid w:val="006A4272"/>
    <w:rsid w:val="006A4C1F"/>
    <w:rsid w:val="006A6529"/>
    <w:rsid w:val="006A7F91"/>
    <w:rsid w:val="006B07C9"/>
    <w:rsid w:val="006B534C"/>
    <w:rsid w:val="006B686A"/>
    <w:rsid w:val="006C11D9"/>
    <w:rsid w:val="006C21D4"/>
    <w:rsid w:val="006C2582"/>
    <w:rsid w:val="006C418A"/>
    <w:rsid w:val="006C49B4"/>
    <w:rsid w:val="006C5554"/>
    <w:rsid w:val="006C5F6B"/>
    <w:rsid w:val="006C6B53"/>
    <w:rsid w:val="006D0AF7"/>
    <w:rsid w:val="006D2BC7"/>
    <w:rsid w:val="006D34CC"/>
    <w:rsid w:val="006D3CB7"/>
    <w:rsid w:val="006D40B2"/>
    <w:rsid w:val="006D7A71"/>
    <w:rsid w:val="006D7D33"/>
    <w:rsid w:val="006E2147"/>
    <w:rsid w:val="006E4DE8"/>
    <w:rsid w:val="006F0D6D"/>
    <w:rsid w:val="006F12DA"/>
    <w:rsid w:val="006F4C14"/>
    <w:rsid w:val="006F716F"/>
    <w:rsid w:val="006F768F"/>
    <w:rsid w:val="00704A03"/>
    <w:rsid w:val="007104CE"/>
    <w:rsid w:val="00710D1F"/>
    <w:rsid w:val="007117D2"/>
    <w:rsid w:val="007136CB"/>
    <w:rsid w:val="007169D1"/>
    <w:rsid w:val="007179CD"/>
    <w:rsid w:val="00722E6A"/>
    <w:rsid w:val="00730210"/>
    <w:rsid w:val="00730B86"/>
    <w:rsid w:val="00734DD1"/>
    <w:rsid w:val="0073535A"/>
    <w:rsid w:val="00736552"/>
    <w:rsid w:val="007368DB"/>
    <w:rsid w:val="007373FD"/>
    <w:rsid w:val="00740831"/>
    <w:rsid w:val="007420BE"/>
    <w:rsid w:val="0074630C"/>
    <w:rsid w:val="00746B32"/>
    <w:rsid w:val="007502E7"/>
    <w:rsid w:val="00752731"/>
    <w:rsid w:val="007535A5"/>
    <w:rsid w:val="007536F2"/>
    <w:rsid w:val="007543BD"/>
    <w:rsid w:val="0075687B"/>
    <w:rsid w:val="007610E3"/>
    <w:rsid w:val="00763621"/>
    <w:rsid w:val="00771FE3"/>
    <w:rsid w:val="007725D1"/>
    <w:rsid w:val="00772984"/>
    <w:rsid w:val="00775182"/>
    <w:rsid w:val="00775839"/>
    <w:rsid w:val="0077639A"/>
    <w:rsid w:val="00777EDE"/>
    <w:rsid w:val="00782B68"/>
    <w:rsid w:val="00782F8A"/>
    <w:rsid w:val="00783144"/>
    <w:rsid w:val="00785583"/>
    <w:rsid w:val="00785E34"/>
    <w:rsid w:val="00792B9E"/>
    <w:rsid w:val="0079461D"/>
    <w:rsid w:val="00796921"/>
    <w:rsid w:val="00796F64"/>
    <w:rsid w:val="0079794C"/>
    <w:rsid w:val="007A00E3"/>
    <w:rsid w:val="007A0D12"/>
    <w:rsid w:val="007A3858"/>
    <w:rsid w:val="007B008E"/>
    <w:rsid w:val="007B1625"/>
    <w:rsid w:val="007B1653"/>
    <w:rsid w:val="007B1E60"/>
    <w:rsid w:val="007B1EA9"/>
    <w:rsid w:val="007B22EB"/>
    <w:rsid w:val="007B2504"/>
    <w:rsid w:val="007B369F"/>
    <w:rsid w:val="007B4C5B"/>
    <w:rsid w:val="007B4D4C"/>
    <w:rsid w:val="007C038C"/>
    <w:rsid w:val="007C0CEB"/>
    <w:rsid w:val="007C39C0"/>
    <w:rsid w:val="007C52CC"/>
    <w:rsid w:val="007C5DFE"/>
    <w:rsid w:val="007C672A"/>
    <w:rsid w:val="007C69A6"/>
    <w:rsid w:val="007C7DC8"/>
    <w:rsid w:val="007D0737"/>
    <w:rsid w:val="007D13AA"/>
    <w:rsid w:val="007D24C2"/>
    <w:rsid w:val="007D67B5"/>
    <w:rsid w:val="007D7D5B"/>
    <w:rsid w:val="007E0574"/>
    <w:rsid w:val="007E145E"/>
    <w:rsid w:val="007E1D5C"/>
    <w:rsid w:val="007E27BF"/>
    <w:rsid w:val="007E2F79"/>
    <w:rsid w:val="007E39EE"/>
    <w:rsid w:val="007E6986"/>
    <w:rsid w:val="007F21A5"/>
    <w:rsid w:val="007F25A1"/>
    <w:rsid w:val="007F3F72"/>
    <w:rsid w:val="007F3FA2"/>
    <w:rsid w:val="007F6F39"/>
    <w:rsid w:val="00800DF1"/>
    <w:rsid w:val="00804287"/>
    <w:rsid w:val="00805857"/>
    <w:rsid w:val="00806344"/>
    <w:rsid w:val="0081275C"/>
    <w:rsid w:val="00816643"/>
    <w:rsid w:val="00823BB7"/>
    <w:rsid w:val="00824F17"/>
    <w:rsid w:val="00825EA5"/>
    <w:rsid w:val="00830D0F"/>
    <w:rsid w:val="00831A83"/>
    <w:rsid w:val="00835004"/>
    <w:rsid w:val="00835F46"/>
    <w:rsid w:val="00836B9B"/>
    <w:rsid w:val="0083762E"/>
    <w:rsid w:val="00841D1E"/>
    <w:rsid w:val="00842FA7"/>
    <w:rsid w:val="008451FE"/>
    <w:rsid w:val="008501D1"/>
    <w:rsid w:val="008502B9"/>
    <w:rsid w:val="00850EE4"/>
    <w:rsid w:val="00852970"/>
    <w:rsid w:val="00852C0E"/>
    <w:rsid w:val="00854AC5"/>
    <w:rsid w:val="00855717"/>
    <w:rsid w:val="00861983"/>
    <w:rsid w:val="008633F0"/>
    <w:rsid w:val="0086364F"/>
    <w:rsid w:val="00863FED"/>
    <w:rsid w:val="00865AA0"/>
    <w:rsid w:val="00865CD2"/>
    <w:rsid w:val="00866054"/>
    <w:rsid w:val="00872207"/>
    <w:rsid w:val="00873C38"/>
    <w:rsid w:val="00873D1F"/>
    <w:rsid w:val="00874AF3"/>
    <w:rsid w:val="008761BB"/>
    <w:rsid w:val="00877AC0"/>
    <w:rsid w:val="00880C47"/>
    <w:rsid w:val="00881837"/>
    <w:rsid w:val="00882BFE"/>
    <w:rsid w:val="00890181"/>
    <w:rsid w:val="00892994"/>
    <w:rsid w:val="00892BA1"/>
    <w:rsid w:val="00893507"/>
    <w:rsid w:val="0089392F"/>
    <w:rsid w:val="00896CD7"/>
    <w:rsid w:val="00897C98"/>
    <w:rsid w:val="00897D4D"/>
    <w:rsid w:val="00897FC3"/>
    <w:rsid w:val="008A218A"/>
    <w:rsid w:val="008A3C83"/>
    <w:rsid w:val="008A5280"/>
    <w:rsid w:val="008B389A"/>
    <w:rsid w:val="008B450D"/>
    <w:rsid w:val="008B5B38"/>
    <w:rsid w:val="008B5F30"/>
    <w:rsid w:val="008B6CE0"/>
    <w:rsid w:val="008C37F4"/>
    <w:rsid w:val="008C5377"/>
    <w:rsid w:val="008D00A9"/>
    <w:rsid w:val="008D1D9F"/>
    <w:rsid w:val="008D1E1A"/>
    <w:rsid w:val="008D209F"/>
    <w:rsid w:val="008D4310"/>
    <w:rsid w:val="008D5AB2"/>
    <w:rsid w:val="008D65A4"/>
    <w:rsid w:val="008D697D"/>
    <w:rsid w:val="008E11DE"/>
    <w:rsid w:val="008E58C8"/>
    <w:rsid w:val="008E648A"/>
    <w:rsid w:val="008E6BD8"/>
    <w:rsid w:val="008E704E"/>
    <w:rsid w:val="008E7681"/>
    <w:rsid w:val="008F01E0"/>
    <w:rsid w:val="008F0C2C"/>
    <w:rsid w:val="008F32DF"/>
    <w:rsid w:val="008F553B"/>
    <w:rsid w:val="008F74C7"/>
    <w:rsid w:val="00900BC2"/>
    <w:rsid w:val="009020F5"/>
    <w:rsid w:val="00904C44"/>
    <w:rsid w:val="0090639A"/>
    <w:rsid w:val="00906E08"/>
    <w:rsid w:val="00910F53"/>
    <w:rsid w:val="0091125D"/>
    <w:rsid w:val="0091182F"/>
    <w:rsid w:val="00911D05"/>
    <w:rsid w:val="00911F13"/>
    <w:rsid w:val="009122C1"/>
    <w:rsid w:val="00913565"/>
    <w:rsid w:val="00913BBD"/>
    <w:rsid w:val="00917E83"/>
    <w:rsid w:val="009206F9"/>
    <w:rsid w:val="0092070A"/>
    <w:rsid w:val="00920A96"/>
    <w:rsid w:val="00921DD6"/>
    <w:rsid w:val="009221E4"/>
    <w:rsid w:val="00922F2B"/>
    <w:rsid w:val="009232B8"/>
    <w:rsid w:val="00923916"/>
    <w:rsid w:val="00924116"/>
    <w:rsid w:val="009249A6"/>
    <w:rsid w:val="00925DB8"/>
    <w:rsid w:val="00926D34"/>
    <w:rsid w:val="00932690"/>
    <w:rsid w:val="009407E8"/>
    <w:rsid w:val="00940C04"/>
    <w:rsid w:val="00942AFD"/>
    <w:rsid w:val="00943EA8"/>
    <w:rsid w:val="00944D43"/>
    <w:rsid w:val="0094552F"/>
    <w:rsid w:val="00947FAF"/>
    <w:rsid w:val="00950F62"/>
    <w:rsid w:val="00951C04"/>
    <w:rsid w:val="0095248B"/>
    <w:rsid w:val="009537B1"/>
    <w:rsid w:val="009538AC"/>
    <w:rsid w:val="00953D46"/>
    <w:rsid w:val="009566BC"/>
    <w:rsid w:val="009603FB"/>
    <w:rsid w:val="00963802"/>
    <w:rsid w:val="009730DE"/>
    <w:rsid w:val="00973BEA"/>
    <w:rsid w:val="00974D48"/>
    <w:rsid w:val="0097556E"/>
    <w:rsid w:val="00975D5B"/>
    <w:rsid w:val="00975D64"/>
    <w:rsid w:val="0097724B"/>
    <w:rsid w:val="00981432"/>
    <w:rsid w:val="00981B40"/>
    <w:rsid w:val="00982862"/>
    <w:rsid w:val="00984C30"/>
    <w:rsid w:val="009867EB"/>
    <w:rsid w:val="00986C19"/>
    <w:rsid w:val="009872E6"/>
    <w:rsid w:val="00987FE8"/>
    <w:rsid w:val="00992E78"/>
    <w:rsid w:val="00994BCF"/>
    <w:rsid w:val="009A0B24"/>
    <w:rsid w:val="009A4760"/>
    <w:rsid w:val="009A61F4"/>
    <w:rsid w:val="009B2E8E"/>
    <w:rsid w:val="009B4E8B"/>
    <w:rsid w:val="009B6D86"/>
    <w:rsid w:val="009C1797"/>
    <w:rsid w:val="009C2923"/>
    <w:rsid w:val="009C2A6A"/>
    <w:rsid w:val="009C3900"/>
    <w:rsid w:val="009C41B3"/>
    <w:rsid w:val="009C4FA8"/>
    <w:rsid w:val="009C6601"/>
    <w:rsid w:val="009C7891"/>
    <w:rsid w:val="009D09FF"/>
    <w:rsid w:val="009D0D23"/>
    <w:rsid w:val="009D182A"/>
    <w:rsid w:val="009D34D9"/>
    <w:rsid w:val="009D4C2D"/>
    <w:rsid w:val="009D643B"/>
    <w:rsid w:val="009E0D8B"/>
    <w:rsid w:val="009E1129"/>
    <w:rsid w:val="009E1225"/>
    <w:rsid w:val="009E129A"/>
    <w:rsid w:val="009E16E6"/>
    <w:rsid w:val="009E3DEF"/>
    <w:rsid w:val="009E3F33"/>
    <w:rsid w:val="009E40F1"/>
    <w:rsid w:val="009E52FD"/>
    <w:rsid w:val="009E6C68"/>
    <w:rsid w:val="009E7C4E"/>
    <w:rsid w:val="009F357B"/>
    <w:rsid w:val="009F5C07"/>
    <w:rsid w:val="009F7079"/>
    <w:rsid w:val="009F739C"/>
    <w:rsid w:val="009F7D70"/>
    <w:rsid w:val="00A008ED"/>
    <w:rsid w:val="00A00F68"/>
    <w:rsid w:val="00A034CD"/>
    <w:rsid w:val="00A03B8E"/>
    <w:rsid w:val="00A073E0"/>
    <w:rsid w:val="00A1291B"/>
    <w:rsid w:val="00A136BB"/>
    <w:rsid w:val="00A15689"/>
    <w:rsid w:val="00A176A7"/>
    <w:rsid w:val="00A1783B"/>
    <w:rsid w:val="00A25B28"/>
    <w:rsid w:val="00A27289"/>
    <w:rsid w:val="00A301F5"/>
    <w:rsid w:val="00A30CA2"/>
    <w:rsid w:val="00A3184A"/>
    <w:rsid w:val="00A32103"/>
    <w:rsid w:val="00A35517"/>
    <w:rsid w:val="00A374E8"/>
    <w:rsid w:val="00A37541"/>
    <w:rsid w:val="00A421B3"/>
    <w:rsid w:val="00A430BB"/>
    <w:rsid w:val="00A43845"/>
    <w:rsid w:val="00A441B9"/>
    <w:rsid w:val="00A4529F"/>
    <w:rsid w:val="00A452AB"/>
    <w:rsid w:val="00A512B9"/>
    <w:rsid w:val="00A5220D"/>
    <w:rsid w:val="00A5548C"/>
    <w:rsid w:val="00A55E8E"/>
    <w:rsid w:val="00A56107"/>
    <w:rsid w:val="00A6007C"/>
    <w:rsid w:val="00A61415"/>
    <w:rsid w:val="00A63D8E"/>
    <w:rsid w:val="00A65512"/>
    <w:rsid w:val="00A65C9F"/>
    <w:rsid w:val="00A66FCA"/>
    <w:rsid w:val="00A71BED"/>
    <w:rsid w:val="00A71CC0"/>
    <w:rsid w:val="00A721BF"/>
    <w:rsid w:val="00A7277F"/>
    <w:rsid w:val="00A7314E"/>
    <w:rsid w:val="00A734FB"/>
    <w:rsid w:val="00A73B0D"/>
    <w:rsid w:val="00A7545B"/>
    <w:rsid w:val="00A76D95"/>
    <w:rsid w:val="00A823CF"/>
    <w:rsid w:val="00A840E9"/>
    <w:rsid w:val="00A84247"/>
    <w:rsid w:val="00A90CA3"/>
    <w:rsid w:val="00A90F62"/>
    <w:rsid w:val="00A9188E"/>
    <w:rsid w:val="00A94A1B"/>
    <w:rsid w:val="00A97BFE"/>
    <w:rsid w:val="00AA068C"/>
    <w:rsid w:val="00AA0A4D"/>
    <w:rsid w:val="00AA1C07"/>
    <w:rsid w:val="00AA3249"/>
    <w:rsid w:val="00AA345D"/>
    <w:rsid w:val="00AA4A79"/>
    <w:rsid w:val="00AA5C4F"/>
    <w:rsid w:val="00AA6032"/>
    <w:rsid w:val="00AB115F"/>
    <w:rsid w:val="00AB1649"/>
    <w:rsid w:val="00AB1E9B"/>
    <w:rsid w:val="00AB21B1"/>
    <w:rsid w:val="00AB2373"/>
    <w:rsid w:val="00AB6465"/>
    <w:rsid w:val="00AB64EE"/>
    <w:rsid w:val="00AC1438"/>
    <w:rsid w:val="00AC14D2"/>
    <w:rsid w:val="00AC34A6"/>
    <w:rsid w:val="00AC404B"/>
    <w:rsid w:val="00AC44DB"/>
    <w:rsid w:val="00AC6F1E"/>
    <w:rsid w:val="00AC6F8C"/>
    <w:rsid w:val="00AC7984"/>
    <w:rsid w:val="00AC7D59"/>
    <w:rsid w:val="00AD42B2"/>
    <w:rsid w:val="00AD4B54"/>
    <w:rsid w:val="00AD5A52"/>
    <w:rsid w:val="00AD5C5F"/>
    <w:rsid w:val="00AE16BC"/>
    <w:rsid w:val="00AE177F"/>
    <w:rsid w:val="00AE40DC"/>
    <w:rsid w:val="00AE43F7"/>
    <w:rsid w:val="00AE475F"/>
    <w:rsid w:val="00AE4D96"/>
    <w:rsid w:val="00AE5701"/>
    <w:rsid w:val="00AE5DDB"/>
    <w:rsid w:val="00AF33FE"/>
    <w:rsid w:val="00AF4DBD"/>
    <w:rsid w:val="00AF5BF6"/>
    <w:rsid w:val="00AF6412"/>
    <w:rsid w:val="00B01CFB"/>
    <w:rsid w:val="00B03636"/>
    <w:rsid w:val="00B05C26"/>
    <w:rsid w:val="00B10189"/>
    <w:rsid w:val="00B108FF"/>
    <w:rsid w:val="00B125D5"/>
    <w:rsid w:val="00B12D5E"/>
    <w:rsid w:val="00B13725"/>
    <w:rsid w:val="00B13955"/>
    <w:rsid w:val="00B13B57"/>
    <w:rsid w:val="00B15328"/>
    <w:rsid w:val="00B1606E"/>
    <w:rsid w:val="00B17181"/>
    <w:rsid w:val="00B21DE1"/>
    <w:rsid w:val="00B23A14"/>
    <w:rsid w:val="00B24049"/>
    <w:rsid w:val="00B2519D"/>
    <w:rsid w:val="00B26B52"/>
    <w:rsid w:val="00B270F1"/>
    <w:rsid w:val="00B279FF"/>
    <w:rsid w:val="00B314E0"/>
    <w:rsid w:val="00B33754"/>
    <w:rsid w:val="00B35D85"/>
    <w:rsid w:val="00B35E72"/>
    <w:rsid w:val="00B361EA"/>
    <w:rsid w:val="00B40A0F"/>
    <w:rsid w:val="00B41235"/>
    <w:rsid w:val="00B42653"/>
    <w:rsid w:val="00B453EE"/>
    <w:rsid w:val="00B47F9D"/>
    <w:rsid w:val="00B5122A"/>
    <w:rsid w:val="00B5363F"/>
    <w:rsid w:val="00B5657D"/>
    <w:rsid w:val="00B56A92"/>
    <w:rsid w:val="00B6057F"/>
    <w:rsid w:val="00B60F98"/>
    <w:rsid w:val="00B62593"/>
    <w:rsid w:val="00B626C7"/>
    <w:rsid w:val="00B658D9"/>
    <w:rsid w:val="00B65B90"/>
    <w:rsid w:val="00B67505"/>
    <w:rsid w:val="00B70157"/>
    <w:rsid w:val="00B703A4"/>
    <w:rsid w:val="00B708F6"/>
    <w:rsid w:val="00B70A35"/>
    <w:rsid w:val="00B717E6"/>
    <w:rsid w:val="00B73563"/>
    <w:rsid w:val="00B80189"/>
    <w:rsid w:val="00B83004"/>
    <w:rsid w:val="00B8357E"/>
    <w:rsid w:val="00B84797"/>
    <w:rsid w:val="00B85D92"/>
    <w:rsid w:val="00B87B40"/>
    <w:rsid w:val="00B91CA2"/>
    <w:rsid w:val="00B92E3A"/>
    <w:rsid w:val="00B9346E"/>
    <w:rsid w:val="00B951F7"/>
    <w:rsid w:val="00B9520C"/>
    <w:rsid w:val="00B95AA2"/>
    <w:rsid w:val="00BA010D"/>
    <w:rsid w:val="00BA0C9F"/>
    <w:rsid w:val="00BA222B"/>
    <w:rsid w:val="00BA306B"/>
    <w:rsid w:val="00BA472A"/>
    <w:rsid w:val="00BA5D02"/>
    <w:rsid w:val="00BB21AC"/>
    <w:rsid w:val="00BC1A17"/>
    <w:rsid w:val="00BC6A81"/>
    <w:rsid w:val="00BC7BF5"/>
    <w:rsid w:val="00BD04AA"/>
    <w:rsid w:val="00BD069C"/>
    <w:rsid w:val="00BD0FBB"/>
    <w:rsid w:val="00BD4BC9"/>
    <w:rsid w:val="00BD6800"/>
    <w:rsid w:val="00BD6FB1"/>
    <w:rsid w:val="00BE04F4"/>
    <w:rsid w:val="00BE3973"/>
    <w:rsid w:val="00BE528E"/>
    <w:rsid w:val="00BE59B7"/>
    <w:rsid w:val="00BE6C7A"/>
    <w:rsid w:val="00BE75C9"/>
    <w:rsid w:val="00BE7B01"/>
    <w:rsid w:val="00BF0C98"/>
    <w:rsid w:val="00BF1674"/>
    <w:rsid w:val="00BF492B"/>
    <w:rsid w:val="00C02473"/>
    <w:rsid w:val="00C03474"/>
    <w:rsid w:val="00C0632F"/>
    <w:rsid w:val="00C078B4"/>
    <w:rsid w:val="00C11B94"/>
    <w:rsid w:val="00C12338"/>
    <w:rsid w:val="00C125CB"/>
    <w:rsid w:val="00C1295A"/>
    <w:rsid w:val="00C13284"/>
    <w:rsid w:val="00C15DEC"/>
    <w:rsid w:val="00C165BD"/>
    <w:rsid w:val="00C16F89"/>
    <w:rsid w:val="00C225A2"/>
    <w:rsid w:val="00C2344E"/>
    <w:rsid w:val="00C24DB0"/>
    <w:rsid w:val="00C26AB3"/>
    <w:rsid w:val="00C271B2"/>
    <w:rsid w:val="00C334E2"/>
    <w:rsid w:val="00C335F1"/>
    <w:rsid w:val="00C3363E"/>
    <w:rsid w:val="00C365F1"/>
    <w:rsid w:val="00C36FAA"/>
    <w:rsid w:val="00C44073"/>
    <w:rsid w:val="00C44C7B"/>
    <w:rsid w:val="00C46F97"/>
    <w:rsid w:val="00C47F42"/>
    <w:rsid w:val="00C5050E"/>
    <w:rsid w:val="00C51E83"/>
    <w:rsid w:val="00C539FA"/>
    <w:rsid w:val="00C53A13"/>
    <w:rsid w:val="00C54560"/>
    <w:rsid w:val="00C55AB6"/>
    <w:rsid w:val="00C55C8A"/>
    <w:rsid w:val="00C5648C"/>
    <w:rsid w:val="00C575DE"/>
    <w:rsid w:val="00C61B7D"/>
    <w:rsid w:val="00C63AC5"/>
    <w:rsid w:val="00C654BC"/>
    <w:rsid w:val="00C676EC"/>
    <w:rsid w:val="00C7168D"/>
    <w:rsid w:val="00C725E9"/>
    <w:rsid w:val="00C76A1D"/>
    <w:rsid w:val="00C76C8B"/>
    <w:rsid w:val="00C82DA4"/>
    <w:rsid w:val="00C831D4"/>
    <w:rsid w:val="00C84E2C"/>
    <w:rsid w:val="00C866C3"/>
    <w:rsid w:val="00C91E34"/>
    <w:rsid w:val="00C94AE3"/>
    <w:rsid w:val="00C97CA3"/>
    <w:rsid w:val="00CA144C"/>
    <w:rsid w:val="00CA16DE"/>
    <w:rsid w:val="00CA5147"/>
    <w:rsid w:val="00CA5984"/>
    <w:rsid w:val="00CA5C0A"/>
    <w:rsid w:val="00CA62E6"/>
    <w:rsid w:val="00CA7150"/>
    <w:rsid w:val="00CB475B"/>
    <w:rsid w:val="00CB7C76"/>
    <w:rsid w:val="00CB7F5F"/>
    <w:rsid w:val="00CC1289"/>
    <w:rsid w:val="00CC1FF1"/>
    <w:rsid w:val="00CC2276"/>
    <w:rsid w:val="00CC4C2E"/>
    <w:rsid w:val="00CC4D89"/>
    <w:rsid w:val="00CD7FEB"/>
    <w:rsid w:val="00CE2CD2"/>
    <w:rsid w:val="00CE5956"/>
    <w:rsid w:val="00CF22B4"/>
    <w:rsid w:val="00CF2CC3"/>
    <w:rsid w:val="00CF34CE"/>
    <w:rsid w:val="00D007D4"/>
    <w:rsid w:val="00D06154"/>
    <w:rsid w:val="00D07453"/>
    <w:rsid w:val="00D07F19"/>
    <w:rsid w:val="00D1187E"/>
    <w:rsid w:val="00D12054"/>
    <w:rsid w:val="00D1272E"/>
    <w:rsid w:val="00D13006"/>
    <w:rsid w:val="00D156CE"/>
    <w:rsid w:val="00D169BA"/>
    <w:rsid w:val="00D16B97"/>
    <w:rsid w:val="00D2000C"/>
    <w:rsid w:val="00D21E8C"/>
    <w:rsid w:val="00D23914"/>
    <w:rsid w:val="00D33F2E"/>
    <w:rsid w:val="00D35A4F"/>
    <w:rsid w:val="00D3657C"/>
    <w:rsid w:val="00D404F1"/>
    <w:rsid w:val="00D41D6D"/>
    <w:rsid w:val="00D43AF7"/>
    <w:rsid w:val="00D45B13"/>
    <w:rsid w:val="00D466B2"/>
    <w:rsid w:val="00D50AEA"/>
    <w:rsid w:val="00D51B4C"/>
    <w:rsid w:val="00D525B5"/>
    <w:rsid w:val="00D5465F"/>
    <w:rsid w:val="00D54C47"/>
    <w:rsid w:val="00D55A58"/>
    <w:rsid w:val="00D566CB"/>
    <w:rsid w:val="00D57172"/>
    <w:rsid w:val="00D5761D"/>
    <w:rsid w:val="00D6282E"/>
    <w:rsid w:val="00D649D5"/>
    <w:rsid w:val="00D64D00"/>
    <w:rsid w:val="00D749F9"/>
    <w:rsid w:val="00D75934"/>
    <w:rsid w:val="00D76955"/>
    <w:rsid w:val="00D77D26"/>
    <w:rsid w:val="00D90B1F"/>
    <w:rsid w:val="00D935C0"/>
    <w:rsid w:val="00D968E6"/>
    <w:rsid w:val="00D96AFD"/>
    <w:rsid w:val="00DA0241"/>
    <w:rsid w:val="00DA1285"/>
    <w:rsid w:val="00DA6DF2"/>
    <w:rsid w:val="00DB2711"/>
    <w:rsid w:val="00DC162F"/>
    <w:rsid w:val="00DC63D0"/>
    <w:rsid w:val="00DC668C"/>
    <w:rsid w:val="00DC72EF"/>
    <w:rsid w:val="00DD7E7C"/>
    <w:rsid w:val="00DD7FD7"/>
    <w:rsid w:val="00DE1432"/>
    <w:rsid w:val="00DE165F"/>
    <w:rsid w:val="00DE1726"/>
    <w:rsid w:val="00DE1BDC"/>
    <w:rsid w:val="00DE252E"/>
    <w:rsid w:val="00DE2FF9"/>
    <w:rsid w:val="00DE439B"/>
    <w:rsid w:val="00DE46FE"/>
    <w:rsid w:val="00DE4AD3"/>
    <w:rsid w:val="00DE6A13"/>
    <w:rsid w:val="00DE7689"/>
    <w:rsid w:val="00DF0BF9"/>
    <w:rsid w:val="00DF1268"/>
    <w:rsid w:val="00DF26D9"/>
    <w:rsid w:val="00DF4842"/>
    <w:rsid w:val="00DF6350"/>
    <w:rsid w:val="00DF79A9"/>
    <w:rsid w:val="00E0234B"/>
    <w:rsid w:val="00E02C54"/>
    <w:rsid w:val="00E032EB"/>
    <w:rsid w:val="00E0350E"/>
    <w:rsid w:val="00E04783"/>
    <w:rsid w:val="00E04B05"/>
    <w:rsid w:val="00E1329A"/>
    <w:rsid w:val="00E1473B"/>
    <w:rsid w:val="00E15CFD"/>
    <w:rsid w:val="00E17585"/>
    <w:rsid w:val="00E22216"/>
    <w:rsid w:val="00E22D27"/>
    <w:rsid w:val="00E24033"/>
    <w:rsid w:val="00E30D05"/>
    <w:rsid w:val="00E42E67"/>
    <w:rsid w:val="00E4365D"/>
    <w:rsid w:val="00E44605"/>
    <w:rsid w:val="00E44DD4"/>
    <w:rsid w:val="00E45E5D"/>
    <w:rsid w:val="00E468C9"/>
    <w:rsid w:val="00E47654"/>
    <w:rsid w:val="00E50008"/>
    <w:rsid w:val="00E516AF"/>
    <w:rsid w:val="00E538C1"/>
    <w:rsid w:val="00E54DCF"/>
    <w:rsid w:val="00E55988"/>
    <w:rsid w:val="00E566A8"/>
    <w:rsid w:val="00E604ED"/>
    <w:rsid w:val="00E62DA8"/>
    <w:rsid w:val="00E632FF"/>
    <w:rsid w:val="00E64C5C"/>
    <w:rsid w:val="00E65249"/>
    <w:rsid w:val="00E652F8"/>
    <w:rsid w:val="00E66177"/>
    <w:rsid w:val="00E66D74"/>
    <w:rsid w:val="00E7136F"/>
    <w:rsid w:val="00E733FD"/>
    <w:rsid w:val="00E738D1"/>
    <w:rsid w:val="00E779B3"/>
    <w:rsid w:val="00E8038C"/>
    <w:rsid w:val="00E80C3F"/>
    <w:rsid w:val="00E81319"/>
    <w:rsid w:val="00E81BA2"/>
    <w:rsid w:val="00E8758A"/>
    <w:rsid w:val="00E879E8"/>
    <w:rsid w:val="00E87FED"/>
    <w:rsid w:val="00E90B58"/>
    <w:rsid w:val="00E93CC8"/>
    <w:rsid w:val="00E959A8"/>
    <w:rsid w:val="00E96D81"/>
    <w:rsid w:val="00E974C8"/>
    <w:rsid w:val="00EA02DF"/>
    <w:rsid w:val="00EA63D1"/>
    <w:rsid w:val="00EA7630"/>
    <w:rsid w:val="00EA7BAC"/>
    <w:rsid w:val="00EB40A0"/>
    <w:rsid w:val="00EB418D"/>
    <w:rsid w:val="00EB68D3"/>
    <w:rsid w:val="00EC125B"/>
    <w:rsid w:val="00EC1DB3"/>
    <w:rsid w:val="00ED05CB"/>
    <w:rsid w:val="00ED28B5"/>
    <w:rsid w:val="00ED5195"/>
    <w:rsid w:val="00ED7F6C"/>
    <w:rsid w:val="00EE03ED"/>
    <w:rsid w:val="00EE2C8C"/>
    <w:rsid w:val="00EE3266"/>
    <w:rsid w:val="00EE4436"/>
    <w:rsid w:val="00EE5178"/>
    <w:rsid w:val="00EE5CD4"/>
    <w:rsid w:val="00EE69D7"/>
    <w:rsid w:val="00EF014A"/>
    <w:rsid w:val="00EF2EEB"/>
    <w:rsid w:val="00EF6195"/>
    <w:rsid w:val="00EF64DF"/>
    <w:rsid w:val="00EF7023"/>
    <w:rsid w:val="00EF7710"/>
    <w:rsid w:val="00F007F0"/>
    <w:rsid w:val="00F0767A"/>
    <w:rsid w:val="00F07B78"/>
    <w:rsid w:val="00F11951"/>
    <w:rsid w:val="00F11A41"/>
    <w:rsid w:val="00F11F3F"/>
    <w:rsid w:val="00F1281D"/>
    <w:rsid w:val="00F1379F"/>
    <w:rsid w:val="00F14736"/>
    <w:rsid w:val="00F14DE2"/>
    <w:rsid w:val="00F152A7"/>
    <w:rsid w:val="00F16808"/>
    <w:rsid w:val="00F171AB"/>
    <w:rsid w:val="00F21C7C"/>
    <w:rsid w:val="00F2210C"/>
    <w:rsid w:val="00F24BBA"/>
    <w:rsid w:val="00F2572B"/>
    <w:rsid w:val="00F30702"/>
    <w:rsid w:val="00F31115"/>
    <w:rsid w:val="00F32573"/>
    <w:rsid w:val="00F327C0"/>
    <w:rsid w:val="00F32CC3"/>
    <w:rsid w:val="00F352DC"/>
    <w:rsid w:val="00F35471"/>
    <w:rsid w:val="00F36C0C"/>
    <w:rsid w:val="00F40224"/>
    <w:rsid w:val="00F417AB"/>
    <w:rsid w:val="00F43197"/>
    <w:rsid w:val="00F44B71"/>
    <w:rsid w:val="00F45205"/>
    <w:rsid w:val="00F45DD5"/>
    <w:rsid w:val="00F467C3"/>
    <w:rsid w:val="00F4770A"/>
    <w:rsid w:val="00F50FDA"/>
    <w:rsid w:val="00F51D2E"/>
    <w:rsid w:val="00F56553"/>
    <w:rsid w:val="00F60CDC"/>
    <w:rsid w:val="00F61249"/>
    <w:rsid w:val="00F61C5B"/>
    <w:rsid w:val="00F6580B"/>
    <w:rsid w:val="00F6596B"/>
    <w:rsid w:val="00F65A3D"/>
    <w:rsid w:val="00F661E5"/>
    <w:rsid w:val="00F67681"/>
    <w:rsid w:val="00F7224B"/>
    <w:rsid w:val="00F72A95"/>
    <w:rsid w:val="00F7307E"/>
    <w:rsid w:val="00F730D2"/>
    <w:rsid w:val="00F739C1"/>
    <w:rsid w:val="00F75787"/>
    <w:rsid w:val="00F767C5"/>
    <w:rsid w:val="00F8241B"/>
    <w:rsid w:val="00F83C5C"/>
    <w:rsid w:val="00F8451D"/>
    <w:rsid w:val="00F8631B"/>
    <w:rsid w:val="00F86EF2"/>
    <w:rsid w:val="00F907C9"/>
    <w:rsid w:val="00F9089B"/>
    <w:rsid w:val="00F91308"/>
    <w:rsid w:val="00F9357F"/>
    <w:rsid w:val="00F95FA9"/>
    <w:rsid w:val="00F967CC"/>
    <w:rsid w:val="00FA1DA3"/>
    <w:rsid w:val="00FA21EE"/>
    <w:rsid w:val="00FA2501"/>
    <w:rsid w:val="00FA31A4"/>
    <w:rsid w:val="00FA32AA"/>
    <w:rsid w:val="00FA38D5"/>
    <w:rsid w:val="00FB0E36"/>
    <w:rsid w:val="00FB1FBB"/>
    <w:rsid w:val="00FB4765"/>
    <w:rsid w:val="00FB4F18"/>
    <w:rsid w:val="00FB513B"/>
    <w:rsid w:val="00FB5E4A"/>
    <w:rsid w:val="00FB6BA9"/>
    <w:rsid w:val="00FC13AA"/>
    <w:rsid w:val="00FC14A8"/>
    <w:rsid w:val="00FC364C"/>
    <w:rsid w:val="00FC60A4"/>
    <w:rsid w:val="00FC6D6A"/>
    <w:rsid w:val="00FC75B7"/>
    <w:rsid w:val="00FD31F3"/>
    <w:rsid w:val="00FD4B52"/>
    <w:rsid w:val="00FD528A"/>
    <w:rsid w:val="00FE0FF9"/>
    <w:rsid w:val="00FE178A"/>
    <w:rsid w:val="00FE4F78"/>
    <w:rsid w:val="00FE5DA3"/>
    <w:rsid w:val="00FE717D"/>
    <w:rsid w:val="00FE7CD9"/>
    <w:rsid w:val="00FF0C8E"/>
    <w:rsid w:val="00FF0DE4"/>
    <w:rsid w:val="00FF331C"/>
    <w:rsid w:val="00FF3F41"/>
    <w:rsid w:val="00FF42FC"/>
    <w:rsid w:val="00FF49B1"/>
    <w:rsid w:val="00FF4E3D"/>
    <w:rsid w:val="00FF546B"/>
    <w:rsid w:val="00F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2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ED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777E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77EDE"/>
    <w:pPr>
      <w:tabs>
        <w:tab w:val="center" w:pos="4513"/>
        <w:tab w:val="right" w:pos="9026"/>
      </w:tabs>
    </w:pPr>
  </w:style>
  <w:style w:type="character" w:customStyle="1" w:styleId="HeaderChar">
    <w:name w:val="Header Char"/>
    <w:basedOn w:val="DefaultParagraphFont"/>
    <w:link w:val="Header"/>
    <w:uiPriority w:val="99"/>
    <w:rsid w:val="00777EDE"/>
  </w:style>
  <w:style w:type="paragraph" w:styleId="Footer">
    <w:name w:val="footer"/>
    <w:basedOn w:val="Normal"/>
    <w:link w:val="FooterChar"/>
    <w:uiPriority w:val="99"/>
    <w:unhideWhenUsed/>
    <w:rsid w:val="00777EDE"/>
    <w:pPr>
      <w:tabs>
        <w:tab w:val="center" w:pos="4513"/>
        <w:tab w:val="right" w:pos="9026"/>
      </w:tabs>
    </w:pPr>
  </w:style>
  <w:style w:type="character" w:customStyle="1" w:styleId="FooterChar">
    <w:name w:val="Footer Char"/>
    <w:basedOn w:val="DefaultParagraphFont"/>
    <w:link w:val="Footer"/>
    <w:uiPriority w:val="99"/>
    <w:rsid w:val="00777EDE"/>
  </w:style>
  <w:style w:type="paragraph" w:styleId="ListParagraph">
    <w:name w:val="List Paragraph"/>
    <w:basedOn w:val="Normal"/>
    <w:uiPriority w:val="34"/>
    <w:qFormat/>
    <w:rsid w:val="00D13006"/>
    <w:pPr>
      <w:ind w:left="720"/>
    </w:pPr>
  </w:style>
  <w:style w:type="paragraph" w:styleId="BalloonText">
    <w:name w:val="Balloon Text"/>
    <w:basedOn w:val="Normal"/>
    <w:link w:val="BalloonTextChar"/>
    <w:uiPriority w:val="99"/>
    <w:semiHidden/>
    <w:unhideWhenUsed/>
    <w:rsid w:val="009537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37B1"/>
    <w:rPr>
      <w:rFonts w:ascii="Tahoma" w:hAnsi="Tahoma" w:cs="Tahoma"/>
      <w:sz w:val="16"/>
      <w:szCs w:val="16"/>
      <w:lang w:eastAsia="en-US"/>
    </w:rPr>
  </w:style>
  <w:style w:type="character" w:styleId="PlaceholderText">
    <w:name w:val="Placeholder Text"/>
    <w:basedOn w:val="DefaultParagraphFont"/>
    <w:uiPriority w:val="99"/>
    <w:semiHidden/>
    <w:rsid w:val="00BE528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2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ED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777E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77EDE"/>
    <w:pPr>
      <w:tabs>
        <w:tab w:val="center" w:pos="4513"/>
        <w:tab w:val="right" w:pos="9026"/>
      </w:tabs>
    </w:pPr>
  </w:style>
  <w:style w:type="character" w:customStyle="1" w:styleId="HeaderChar">
    <w:name w:val="Header Char"/>
    <w:basedOn w:val="DefaultParagraphFont"/>
    <w:link w:val="Header"/>
    <w:uiPriority w:val="99"/>
    <w:rsid w:val="00777EDE"/>
  </w:style>
  <w:style w:type="paragraph" w:styleId="Footer">
    <w:name w:val="footer"/>
    <w:basedOn w:val="Normal"/>
    <w:link w:val="FooterChar"/>
    <w:uiPriority w:val="99"/>
    <w:unhideWhenUsed/>
    <w:rsid w:val="00777EDE"/>
    <w:pPr>
      <w:tabs>
        <w:tab w:val="center" w:pos="4513"/>
        <w:tab w:val="right" w:pos="9026"/>
      </w:tabs>
    </w:pPr>
  </w:style>
  <w:style w:type="character" w:customStyle="1" w:styleId="FooterChar">
    <w:name w:val="Footer Char"/>
    <w:basedOn w:val="DefaultParagraphFont"/>
    <w:link w:val="Footer"/>
    <w:uiPriority w:val="99"/>
    <w:rsid w:val="00777EDE"/>
  </w:style>
  <w:style w:type="paragraph" w:styleId="ListParagraph">
    <w:name w:val="List Paragraph"/>
    <w:basedOn w:val="Normal"/>
    <w:uiPriority w:val="34"/>
    <w:qFormat/>
    <w:rsid w:val="00D13006"/>
    <w:pPr>
      <w:ind w:left="720"/>
    </w:pPr>
  </w:style>
  <w:style w:type="paragraph" w:styleId="BalloonText">
    <w:name w:val="Balloon Text"/>
    <w:basedOn w:val="Normal"/>
    <w:link w:val="BalloonTextChar"/>
    <w:uiPriority w:val="99"/>
    <w:semiHidden/>
    <w:unhideWhenUsed/>
    <w:rsid w:val="009537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37B1"/>
    <w:rPr>
      <w:rFonts w:ascii="Tahoma" w:hAnsi="Tahoma" w:cs="Tahoma"/>
      <w:sz w:val="16"/>
      <w:szCs w:val="16"/>
      <w:lang w:eastAsia="en-US"/>
    </w:rPr>
  </w:style>
  <w:style w:type="character" w:styleId="PlaceholderText">
    <w:name w:val="Placeholder Text"/>
    <w:basedOn w:val="DefaultParagraphFont"/>
    <w:uiPriority w:val="99"/>
    <w:semiHidden/>
    <w:rsid w:val="00BE52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1D7A2B5-3D04-4C2F-A73B-C27B8825CDAF}"/>
      </w:docPartPr>
      <w:docPartBody>
        <w:p w:rsidR="00000000" w:rsidRDefault="00B57CAC">
          <w:r w:rsidRPr="008677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AC"/>
    <w:rsid w:val="00B5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CA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C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AC2D-617F-4504-8067-DE36B376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BRE</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McKayS</dc:creator>
  <cp:keywords/>
  <dc:description/>
  <cp:lastModifiedBy>smithgk</cp:lastModifiedBy>
  <cp:revision>2</cp:revision>
  <dcterms:created xsi:type="dcterms:W3CDTF">2013-01-31T10:47:00Z</dcterms:created>
  <dcterms:modified xsi:type="dcterms:W3CDTF">2013-01-31T10:47:00Z</dcterms:modified>
</cp:coreProperties>
</file>